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ascii="宋体" w:hAnsi="宋体" w:eastAsia="宋体" w:cs="宋体"/>
          <w:b/>
          <w:bCs/>
          <w:spacing w:val="120"/>
          <w:sz w:val="72"/>
          <w:szCs w:val="72"/>
        </w:rPr>
      </w:pPr>
      <w:bookmarkStart w:id="404" w:name="_GoBack"/>
      <w:bookmarkEnd w:id="404"/>
    </w:p>
    <w:p>
      <w:pPr>
        <w:autoSpaceDE w:val="0"/>
        <w:autoSpaceDN w:val="0"/>
        <w:spacing w:line="500" w:lineRule="atLeast"/>
        <w:jc w:val="center"/>
        <w:textAlignment w:val="bottom"/>
        <w:rPr>
          <w:rFonts w:ascii="宋体" w:hAnsi="宋体" w:eastAsia="宋体" w:cs="宋体"/>
          <w:bCs/>
          <w:spacing w:val="227"/>
          <w:sz w:val="72"/>
          <w:szCs w:val="72"/>
        </w:rPr>
      </w:pPr>
      <w:r>
        <w:rPr>
          <w:rFonts w:hint="eastAsia" w:ascii="宋体" w:hAnsi="宋体" w:eastAsia="宋体" w:cs="宋体"/>
          <w:bCs/>
          <w:spacing w:val="227"/>
          <w:sz w:val="72"/>
          <w:szCs w:val="72"/>
        </w:rPr>
        <w:t>温州市国有企业</w:t>
      </w:r>
    </w:p>
    <w:p>
      <w:pPr>
        <w:spacing w:line="400" w:lineRule="atLeast"/>
        <w:jc w:val="center"/>
        <w:rPr>
          <w:rFonts w:ascii="宋体" w:hAnsi="宋体" w:eastAsia="宋体" w:cs="宋体"/>
          <w:b/>
          <w:sz w:val="52"/>
          <w:szCs w:val="24"/>
        </w:rPr>
      </w:pPr>
    </w:p>
    <w:p>
      <w:pPr>
        <w:spacing w:line="400" w:lineRule="atLeast"/>
        <w:jc w:val="center"/>
        <w:rPr>
          <w:rFonts w:ascii="宋体" w:hAnsi="宋体" w:eastAsia="宋体" w:cs="宋体"/>
          <w:b/>
          <w:sz w:val="52"/>
          <w:szCs w:val="24"/>
        </w:rPr>
      </w:pPr>
    </w:p>
    <w:p>
      <w:pPr>
        <w:autoSpaceDE w:val="0"/>
        <w:autoSpaceDN w:val="0"/>
        <w:spacing w:line="500" w:lineRule="atLeast"/>
        <w:jc w:val="center"/>
        <w:textAlignment w:val="bottom"/>
        <w:rPr>
          <w:rFonts w:ascii="宋体" w:hAnsi="宋体" w:eastAsia="宋体" w:cs="宋体"/>
          <w:b/>
          <w:sz w:val="72"/>
          <w:szCs w:val="72"/>
        </w:rPr>
      </w:pPr>
      <w:r>
        <w:rPr>
          <w:rFonts w:hint="eastAsia" w:ascii="宋体" w:hAnsi="宋体" w:eastAsia="宋体" w:cs="宋体"/>
          <w:b/>
          <w:sz w:val="72"/>
          <w:szCs w:val="72"/>
        </w:rPr>
        <w:t>采  购  文  件</w:t>
      </w:r>
    </w:p>
    <w:p>
      <w:pPr>
        <w:spacing w:line="400" w:lineRule="exact"/>
        <w:jc w:val="center"/>
        <w:rPr>
          <w:rFonts w:ascii="宋体" w:hAnsi="宋体" w:eastAsia="宋体" w:cs="宋体"/>
          <w:b/>
          <w:sz w:val="32"/>
          <w:szCs w:val="24"/>
        </w:rPr>
      </w:pPr>
    </w:p>
    <w:p>
      <w:pPr>
        <w:spacing w:line="400" w:lineRule="exact"/>
        <w:jc w:val="center"/>
        <w:rPr>
          <w:rFonts w:ascii="宋体" w:hAnsi="宋体" w:eastAsia="宋体" w:cs="宋体"/>
          <w:b/>
          <w:sz w:val="32"/>
          <w:szCs w:val="24"/>
        </w:rPr>
      </w:pPr>
    </w:p>
    <w:tbl>
      <w:tblPr>
        <w:tblStyle w:val="22"/>
        <w:tblW w:w="0" w:type="auto"/>
        <w:jc w:val="center"/>
        <w:tblLayout w:type="fixed"/>
        <w:tblCellMar>
          <w:top w:w="0" w:type="dxa"/>
          <w:left w:w="108" w:type="dxa"/>
          <w:bottom w:w="0" w:type="dxa"/>
          <w:right w:w="108" w:type="dxa"/>
        </w:tblCellMar>
      </w:tblPr>
      <w:tblGrid>
        <w:gridCol w:w="2340"/>
        <w:gridCol w:w="360"/>
        <w:gridCol w:w="3233"/>
      </w:tblGrid>
      <w:tr>
        <w:tblPrEx>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采购编号</w:t>
            </w:r>
          </w:p>
        </w:tc>
        <w:tc>
          <w:tcPr>
            <w:tcW w:w="36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3233" w:type="dxa"/>
            <w:vAlign w:val="center"/>
          </w:tcPr>
          <w:p>
            <w:pPr>
              <w:adjustRightInd w:val="0"/>
              <w:snapToGrid w:val="0"/>
              <w:spacing w:line="440" w:lineRule="exact"/>
              <w:rPr>
                <w:rFonts w:ascii="宋体" w:hAnsi="宋体" w:eastAsia="宋体" w:cs="宋体"/>
                <w:spacing w:val="-20"/>
                <w:sz w:val="30"/>
                <w:szCs w:val="30"/>
              </w:rPr>
            </w:pPr>
            <w:r>
              <w:rPr>
                <w:rFonts w:hint="eastAsia" w:ascii="宋体" w:hAnsi="宋体" w:eastAsia="宋体" w:cs="宋体"/>
                <w:sz w:val="30"/>
                <w:szCs w:val="30"/>
              </w:rPr>
              <w:t>WGQCJF20210023</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项目名称</w:t>
            </w:r>
          </w:p>
        </w:tc>
        <w:tc>
          <w:tcPr>
            <w:tcW w:w="36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3233" w:type="dxa"/>
            <w:vAlign w:val="center"/>
          </w:tcPr>
          <w:p>
            <w:pPr>
              <w:adjustRightInd w:val="0"/>
              <w:snapToGrid w:val="0"/>
              <w:spacing w:line="440" w:lineRule="exact"/>
              <w:rPr>
                <w:rFonts w:ascii="宋体" w:hAnsi="宋体" w:eastAsia="宋体" w:cs="宋体"/>
                <w:sz w:val="30"/>
                <w:szCs w:val="30"/>
              </w:rPr>
            </w:pPr>
            <w:r>
              <w:rPr>
                <w:rFonts w:hint="eastAsia" w:ascii="宋体" w:hAnsi="宋体" w:eastAsia="宋体" w:cs="宋体"/>
                <w:sz w:val="30"/>
                <w:szCs w:val="30"/>
              </w:rPr>
              <w:t>数字化平台项目</w:t>
            </w:r>
          </w:p>
        </w:tc>
      </w:tr>
      <w:tr>
        <w:tblPrEx>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3233" w:type="dxa"/>
            <w:vAlign w:val="center"/>
          </w:tcPr>
          <w:p>
            <w:pPr>
              <w:adjustRightInd w:val="0"/>
              <w:snapToGrid w:val="0"/>
              <w:spacing w:line="440" w:lineRule="exact"/>
              <w:rPr>
                <w:rFonts w:ascii="宋体" w:hAnsi="宋体" w:eastAsia="宋体" w:cs="宋体"/>
                <w:sz w:val="30"/>
                <w:szCs w:val="30"/>
              </w:rPr>
            </w:pPr>
            <w:r>
              <w:rPr>
                <w:rFonts w:hint="eastAsia" w:ascii="宋体" w:hAnsi="宋体" w:eastAsia="宋体" w:cs="宋体"/>
                <w:sz w:val="30"/>
                <w:szCs w:val="30"/>
              </w:rPr>
              <w:t>公开招标</w:t>
            </w:r>
          </w:p>
        </w:tc>
      </w:tr>
    </w:tbl>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tbl>
      <w:tblPr>
        <w:tblStyle w:val="22"/>
        <w:tblW w:w="0" w:type="auto"/>
        <w:jc w:val="center"/>
        <w:tblLayout w:type="fixed"/>
        <w:tblCellMar>
          <w:top w:w="0" w:type="dxa"/>
          <w:left w:w="108" w:type="dxa"/>
          <w:bottom w:w="0" w:type="dxa"/>
          <w:right w:w="108" w:type="dxa"/>
        </w:tblCellMar>
      </w:tblPr>
      <w:tblGrid>
        <w:gridCol w:w="2199"/>
        <w:gridCol w:w="360"/>
        <w:gridCol w:w="4170"/>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17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温州市交通发展集团有限公司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17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浙江国际招（投）标公司</w:t>
            </w:r>
          </w:p>
        </w:tc>
      </w:tr>
    </w:tbl>
    <w:p>
      <w:pPr>
        <w:spacing w:before="156" w:beforeLines="50" w:line="360" w:lineRule="auto"/>
        <w:jc w:val="center"/>
        <w:rPr>
          <w:rFonts w:ascii="宋体" w:hAnsi="宋体" w:eastAsia="宋体" w:cs="宋体"/>
          <w:spacing w:val="40"/>
          <w:sz w:val="30"/>
          <w:szCs w:val="30"/>
        </w:rPr>
      </w:pPr>
      <w:r>
        <w:rPr>
          <w:rFonts w:hint="eastAsia" w:ascii="宋体" w:hAnsi="宋体" w:eastAsia="宋体" w:cs="宋体"/>
          <w:spacing w:val="40"/>
          <w:sz w:val="30"/>
          <w:szCs w:val="30"/>
        </w:rPr>
        <w:t>二〇二一年</w:t>
      </w:r>
    </w:p>
    <w:p>
      <w:pPr>
        <w:jc w:val="center"/>
        <w:rPr>
          <w:rFonts w:ascii="宋体" w:hAnsi="宋体" w:eastAsia="宋体" w:cs="宋体"/>
          <w:b/>
          <w:bCs/>
          <w:sz w:val="32"/>
          <w:szCs w:val="32"/>
        </w:rPr>
      </w:pPr>
      <w:r>
        <w:rPr>
          <w:rFonts w:hint="eastAsia" w:ascii="宋体" w:hAnsi="宋体" w:eastAsia="宋体" w:cs="宋体"/>
          <w:b/>
          <w:bCs/>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目    录</w:t>
      </w:r>
    </w:p>
    <w:p>
      <w:pPr>
        <w:tabs>
          <w:tab w:val="right" w:leader="dot" w:pos="9660"/>
        </w:tabs>
        <w:spacing w:line="480" w:lineRule="auto"/>
        <w:rPr>
          <w:rFonts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napToGrid w:val="0"/>
          <w:spacing w:val="-20"/>
          <w:kern w:val="0"/>
          <w:szCs w:val="24"/>
          <w:u w:val="single"/>
        </w:rPr>
        <w:t>温州市交通发展集团有限公司关于</w:t>
      </w:r>
      <w:r>
        <w:fldChar w:fldCharType="begin"/>
      </w:r>
      <w:r>
        <w:instrText xml:space="preserve"> HYPERLINK \l "_Toc491780521" </w:instrText>
      </w:r>
      <w:r>
        <w:fldChar w:fldCharType="separate"/>
      </w:r>
      <w:r>
        <w:rPr>
          <w:rFonts w:hint="eastAsia" w:ascii="宋体" w:hAnsi="宋体" w:eastAsia="宋体" w:cs="宋体"/>
          <w:snapToGrid w:val="0"/>
          <w:spacing w:val="-20"/>
          <w:kern w:val="0"/>
          <w:szCs w:val="24"/>
          <w:u w:val="single"/>
        </w:rPr>
        <w:t>数字化平台项目的采购公告</w:t>
      </w:r>
      <w:r>
        <w:rPr>
          <w:rFonts w:hint="eastAsia" w:ascii="宋体" w:hAnsi="宋体" w:eastAsia="宋体" w:cs="宋体"/>
          <w:snapToGrid w:val="0"/>
          <w:spacing w:val="-20"/>
          <w:kern w:val="0"/>
          <w:szCs w:val="24"/>
          <w:u w:val="single"/>
        </w:rPr>
        <w:tab/>
      </w:r>
      <w:r>
        <w:rPr>
          <w:rFonts w:hint="eastAsia" w:ascii="宋体" w:hAnsi="宋体" w:eastAsia="宋体" w:cs="宋体"/>
          <w:snapToGrid w:val="0"/>
          <w:spacing w:val="-20"/>
          <w:kern w:val="0"/>
          <w:szCs w:val="24"/>
          <w:u w:val="single"/>
        </w:rPr>
        <w:t>3</w:t>
      </w:r>
      <w:r>
        <w:rPr>
          <w:rFonts w:hint="eastAsia" w:ascii="宋体" w:hAnsi="宋体" w:eastAsia="宋体" w:cs="宋体"/>
          <w:snapToGrid w:val="0"/>
          <w:spacing w:val="-20"/>
          <w:kern w:val="0"/>
          <w:szCs w:val="24"/>
          <w:u w:val="single"/>
        </w:rPr>
        <w:fldChar w:fldCharType="end"/>
      </w:r>
    </w:p>
    <w:p>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pacing w:val="-20"/>
          <w:szCs w:val="24"/>
          <w:u w:val="single"/>
        </w:rPr>
        <w:t>温州市交通发展集团有限公司关于</w:t>
      </w:r>
      <w:r>
        <w:fldChar w:fldCharType="begin"/>
      </w:r>
      <w:r>
        <w:instrText xml:space="preserve"> HYPERLINK \l "_Toc491780522" </w:instrText>
      </w:r>
      <w:r>
        <w:fldChar w:fldCharType="separate"/>
      </w:r>
      <w:r>
        <w:rPr>
          <w:rFonts w:hint="eastAsia" w:ascii="宋体" w:hAnsi="宋体" w:eastAsia="宋体" w:cs="宋体"/>
          <w:spacing w:val="-20"/>
          <w:szCs w:val="24"/>
          <w:u w:val="single"/>
        </w:rPr>
        <w:t>数字化平台项目征求意见公示</w:t>
      </w:r>
      <w:r>
        <w:rPr>
          <w:rFonts w:hint="eastAsia" w:ascii="宋体" w:hAnsi="宋体" w:eastAsia="宋体" w:cs="宋体"/>
          <w:spacing w:val="-20"/>
          <w:szCs w:val="24"/>
          <w:u w:val="single"/>
        </w:rPr>
        <w:tab/>
      </w:r>
      <w:r>
        <w:rPr>
          <w:rFonts w:hint="eastAsia" w:ascii="宋体" w:hAnsi="宋体" w:eastAsia="宋体" w:cs="宋体"/>
          <w:spacing w:val="-20"/>
          <w:szCs w:val="24"/>
          <w:u w:val="single"/>
        </w:rPr>
        <w:t>5</w:t>
      </w:r>
      <w:r>
        <w:rPr>
          <w:rFonts w:hint="eastAsia" w:ascii="宋体" w:hAnsi="宋体" w:eastAsia="宋体" w:cs="宋体"/>
          <w:spacing w:val="-20"/>
          <w:szCs w:val="24"/>
          <w:u w:val="single"/>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"_Toc491780523" </w:instrText>
      </w:r>
      <w:r>
        <w:fldChar w:fldCharType="separate"/>
      </w:r>
      <w:r>
        <w:rPr>
          <w:rFonts w:hint="eastAsia" w:ascii="宋体" w:hAnsi="宋体" w:eastAsia="宋体" w:cs="宋体"/>
          <w:szCs w:val="24"/>
          <w:u w:val="single"/>
        </w:rPr>
        <w:t>第一部分 投标人须知及投标人须知前附表</w:t>
      </w:r>
      <w:r>
        <w:rPr>
          <w:rFonts w:hint="eastAsia" w:ascii="宋体" w:hAnsi="宋体" w:eastAsia="宋体" w:cs="宋体"/>
          <w:szCs w:val="24"/>
        </w:rPr>
        <w:tab/>
      </w:r>
      <w:r>
        <w:rPr>
          <w:rFonts w:hint="eastAsia" w:ascii="宋体" w:hAnsi="宋体" w:eastAsia="宋体" w:cs="宋体"/>
          <w:szCs w:val="24"/>
        </w:rPr>
        <w:t>6</w:t>
      </w:r>
      <w:r>
        <w:rPr>
          <w:rFonts w:hint="eastAsia" w:ascii="宋体" w:hAnsi="宋体" w:eastAsia="宋体" w:cs="宋体"/>
          <w:szCs w:val="24"/>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"_Toc491780524" </w:instrText>
      </w:r>
      <w:r>
        <w:fldChar w:fldCharType="separate"/>
      </w:r>
      <w:r>
        <w:rPr>
          <w:rFonts w:hint="eastAsia" w:ascii="宋体" w:hAnsi="宋体" w:eastAsia="宋体" w:cs="宋体"/>
          <w:szCs w:val="24"/>
          <w:u w:val="single"/>
        </w:rPr>
        <w:t>第二部分 合同条款</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_Toc491780524 \h </w:instrText>
      </w:r>
      <w:r>
        <w:rPr>
          <w:rFonts w:hint="eastAsia" w:ascii="宋体" w:hAnsi="宋体" w:eastAsia="宋体" w:cs="宋体"/>
          <w:szCs w:val="24"/>
        </w:rPr>
        <w:fldChar w:fldCharType="separate"/>
      </w:r>
      <w:r>
        <w:rPr>
          <w:rFonts w:hint="eastAsia" w:ascii="宋体" w:hAnsi="宋体" w:eastAsia="宋体" w:cs="宋体"/>
          <w:szCs w:val="24"/>
        </w:rPr>
        <w:t>18</w:t>
      </w:r>
      <w:r>
        <w:rPr>
          <w:rFonts w:hint="eastAsia" w:ascii="宋体" w:hAnsi="宋体" w:eastAsia="宋体" w:cs="宋体"/>
          <w:szCs w:val="24"/>
        </w:rPr>
        <w:fldChar w:fldCharType="end"/>
      </w:r>
      <w:r>
        <w:rPr>
          <w:rFonts w:hint="eastAsia" w:ascii="宋体" w:hAnsi="宋体" w:eastAsia="宋体" w:cs="宋体"/>
          <w:szCs w:val="24"/>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"_Toc491780525" </w:instrText>
      </w:r>
      <w:r>
        <w:fldChar w:fldCharType="separate"/>
      </w:r>
      <w:r>
        <w:rPr>
          <w:rFonts w:hint="eastAsia" w:ascii="宋体" w:hAnsi="宋体" w:eastAsia="宋体" w:cs="宋体"/>
          <w:szCs w:val="24"/>
          <w:u w:val="single"/>
        </w:rPr>
        <w:t>第三部分 投标文件的编制格式</w:t>
      </w:r>
      <w:r>
        <w:rPr>
          <w:rFonts w:hint="eastAsia" w:ascii="宋体" w:hAnsi="宋体" w:eastAsia="宋体" w:cs="宋体"/>
          <w:szCs w:val="24"/>
        </w:rPr>
        <w:tab/>
      </w:r>
      <w:r>
        <w:rPr>
          <w:rFonts w:hint="eastAsia" w:ascii="宋体" w:hAnsi="宋体" w:eastAsia="宋体" w:cs="宋体"/>
          <w:szCs w:val="24"/>
        </w:rPr>
        <w:t>2</w:t>
      </w:r>
      <w:r>
        <w:rPr>
          <w:rFonts w:hint="eastAsia" w:ascii="宋体" w:hAnsi="宋体" w:eastAsia="宋体" w:cs="宋体"/>
          <w:szCs w:val="24"/>
        </w:rPr>
        <w:fldChar w:fldCharType="end"/>
      </w:r>
      <w:r>
        <w:rPr>
          <w:rFonts w:hint="eastAsia" w:ascii="宋体" w:hAnsi="宋体" w:eastAsia="宋体" w:cs="宋体"/>
          <w:szCs w:val="24"/>
        </w:rPr>
        <w:t>9</w:t>
      </w:r>
    </w:p>
    <w:p>
      <w:pPr>
        <w:tabs>
          <w:tab w:val="right" w:leader="dot" w:pos="9660"/>
        </w:tabs>
        <w:spacing w:line="480" w:lineRule="auto"/>
        <w:rPr>
          <w:rFonts w:ascii="宋体" w:hAnsi="宋体" w:eastAsia="宋体" w:cs="宋体"/>
          <w:szCs w:val="24"/>
        </w:rPr>
      </w:pPr>
      <w:r>
        <w:fldChar w:fldCharType="begin"/>
      </w:r>
      <w:r>
        <w:instrText xml:space="preserve"> HYPERLINK \l "_Toc491780526" </w:instrText>
      </w:r>
      <w:r>
        <w:fldChar w:fldCharType="separate"/>
      </w:r>
      <w:r>
        <w:rPr>
          <w:rFonts w:hint="eastAsia" w:ascii="宋体" w:hAnsi="宋体" w:eastAsia="宋体" w:cs="宋体"/>
          <w:szCs w:val="24"/>
          <w:u w:val="single"/>
        </w:rPr>
        <w:t>第四部分 采购内</w:t>
      </w:r>
      <w:bookmarkStart w:id="0" w:name="_Hlt491780538"/>
      <w:r>
        <w:rPr>
          <w:rFonts w:hint="eastAsia" w:ascii="宋体" w:hAnsi="宋体" w:eastAsia="宋体" w:cs="宋体"/>
          <w:szCs w:val="24"/>
          <w:u w:val="single"/>
        </w:rPr>
        <w:t>容</w:t>
      </w:r>
      <w:bookmarkEnd w:id="0"/>
      <w:r>
        <w:rPr>
          <w:rFonts w:hint="eastAsia" w:ascii="宋体" w:hAnsi="宋体" w:eastAsia="宋体" w:cs="宋体"/>
          <w:szCs w:val="24"/>
          <w:u w:val="single"/>
        </w:rPr>
        <w:t>及要求</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44</w:t>
      </w:r>
    </w:p>
    <w:p>
      <w:pPr>
        <w:tabs>
          <w:tab w:val="right" w:leader="dot" w:pos="9660"/>
        </w:tabs>
        <w:spacing w:line="480" w:lineRule="auto"/>
        <w:rPr>
          <w:rFonts w:ascii="宋体" w:hAnsi="宋体" w:eastAsia="宋体" w:cs="宋体"/>
          <w:szCs w:val="24"/>
        </w:rPr>
      </w:pPr>
      <w:r>
        <w:fldChar w:fldCharType="begin"/>
      </w:r>
      <w:r>
        <w:instrText xml:space="preserve"> HYPERLINK \l "_Toc491780527" </w:instrText>
      </w:r>
      <w:r>
        <w:fldChar w:fldCharType="separate"/>
      </w:r>
      <w:r>
        <w:rPr>
          <w:rFonts w:hint="eastAsia" w:ascii="宋体" w:hAnsi="宋体" w:eastAsia="宋体" w:cs="宋体"/>
          <w:szCs w:val="24"/>
        </w:rPr>
        <w:t>第五部分 评标原则及方法</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rPr>
        <w:t>53</w:t>
      </w:r>
    </w:p>
    <w:p>
      <w:pPr>
        <w:tabs>
          <w:tab w:val="right" w:leader="dot" w:pos="9660"/>
        </w:tabs>
        <w:spacing w:line="360" w:lineRule="auto"/>
        <w:rPr>
          <w:rFonts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的条款，为采购文件的实质性要求和条件，着重提醒各投标人注意（不响应“▲”条款的作无效标处理），并认真查看采购文件中的每一个条款及要求，因误读采购文件而造成的后果，采购人概不负责。</w:t>
      </w:r>
    </w:p>
    <w:p>
      <w:pPr>
        <w:jc w:val="center"/>
        <w:rPr>
          <w:rFonts w:ascii="宋体" w:hAnsi="宋体" w:eastAsia="宋体" w:cs="宋体"/>
          <w:sz w:val="24"/>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sz w:val="24"/>
        </w:rPr>
        <w:t>温州市交通发展集团有限公司关于数字化平台项目的采购公告</w:t>
      </w:r>
    </w:p>
    <w:p>
      <w:pPr>
        <w:jc w:val="center"/>
        <w:rPr>
          <w:rFonts w:ascii="宋体" w:hAnsi="宋体" w:eastAsia="宋体" w:cs="宋体"/>
        </w:rPr>
      </w:pPr>
    </w:p>
    <w:p>
      <w:pPr>
        <w:widowControl/>
        <w:spacing w:before="60" w:after="60"/>
        <w:ind w:right="60" w:firstLine="420" w:firstLineChars="200"/>
        <w:jc w:val="left"/>
        <w:rPr>
          <w:rFonts w:ascii="宋体" w:hAnsi="宋体" w:eastAsia="宋体" w:cs="宋体"/>
        </w:rPr>
      </w:pPr>
      <w:r>
        <w:rPr>
          <w:rFonts w:hint="eastAsia" w:ascii="宋体" w:hAnsi="宋体" w:eastAsia="宋体" w:cs="宋体"/>
        </w:rPr>
        <w:t>根据《温州市市属国有企业采购管理办法（试行）》等有关规定，浙江国际招（投）标公司受温州市交通发展集团有限公司的委托，就数字化平台项目以公开招标方式进行国企采购，欢迎国内合格的投标供应商前来投标。</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一、公告类型：采购公告</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二、采购方式：公开招标</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三、项目编号：WGQCJF20210023</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四、项目名称：数字化平台项目</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五、采购性质：国企采购（非政府采购）</w:t>
      </w:r>
    </w:p>
    <w:p>
      <w:pPr>
        <w:widowControl/>
        <w:spacing w:before="60" w:after="60"/>
        <w:ind w:right="60"/>
        <w:jc w:val="left"/>
        <w:rPr>
          <w:rFonts w:ascii="宋体" w:hAnsi="宋体" w:eastAsia="宋体" w:cs="宋体"/>
          <w:bCs/>
          <w:kern w:val="0"/>
          <w:szCs w:val="21"/>
        </w:rPr>
      </w:pPr>
      <w:r>
        <w:rPr>
          <w:rFonts w:hint="eastAsia" w:ascii="宋体" w:hAnsi="宋体" w:eastAsia="宋体" w:cs="宋体"/>
          <w:bCs/>
          <w:kern w:val="0"/>
          <w:szCs w:val="21"/>
        </w:rPr>
        <w:t>六、预算金额：人民币450万元</w:t>
      </w:r>
    </w:p>
    <w:p>
      <w:pPr>
        <w:widowControl/>
        <w:spacing w:before="60" w:after="60"/>
        <w:ind w:right="60"/>
        <w:jc w:val="left"/>
        <w:rPr>
          <w:rFonts w:ascii="宋体" w:hAnsi="宋体" w:eastAsia="宋体" w:cs="宋体"/>
        </w:rPr>
      </w:pPr>
      <w:r>
        <w:rPr>
          <w:rFonts w:hint="eastAsia" w:ascii="宋体" w:hAnsi="宋体" w:eastAsia="宋体" w:cs="宋体"/>
          <w:bCs/>
          <w:kern w:val="0"/>
          <w:szCs w:val="21"/>
        </w:rPr>
        <w:t>七、采购内容（具体采购内容及详细技术要求见采购文件相关部分）：</w:t>
      </w:r>
    </w:p>
    <w:tbl>
      <w:tblPr>
        <w:tblStyle w:val="22"/>
        <w:tblW w:w="0" w:type="auto"/>
        <w:jc w:val="center"/>
        <w:tblLayout w:type="fixed"/>
        <w:tblCellMar>
          <w:top w:w="0" w:type="dxa"/>
          <w:left w:w="108" w:type="dxa"/>
          <w:bottom w:w="0" w:type="dxa"/>
          <w:right w:w="108" w:type="dxa"/>
        </w:tblCellMar>
      </w:tblPr>
      <w:tblGrid>
        <w:gridCol w:w="763"/>
        <w:gridCol w:w="1509"/>
        <w:gridCol w:w="621"/>
        <w:gridCol w:w="653"/>
        <w:gridCol w:w="1105"/>
        <w:gridCol w:w="4305"/>
      </w:tblGrid>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标项内容</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数量</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单位</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预算金额(万元)</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简要技术要求、用途</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eastAsia="宋体" w:cs="宋体"/>
                <w:bCs/>
                <w:kern w:val="0"/>
                <w:sz w:val="18"/>
                <w:szCs w:val="18"/>
              </w:rPr>
            </w:pPr>
            <w:r>
              <w:rPr>
                <w:rFonts w:hint="eastAsia" w:ascii="宋体" w:hAnsi="宋体" w:eastAsia="宋体" w:cs="宋体"/>
                <w:bCs/>
                <w:kern w:val="0"/>
                <w:sz w:val="18"/>
                <w:szCs w:val="18"/>
              </w:rPr>
              <w:t>数字化平台项目</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eastAsia="宋体" w:cs="宋体"/>
                <w:sz w:val="18"/>
                <w:szCs w:val="18"/>
              </w:rPr>
            </w:pPr>
            <w:r>
              <w:rPr>
                <w:rFonts w:hint="eastAsia" w:ascii="宋体" w:hAnsi="宋体" w:eastAsia="宋体" w:cs="宋体"/>
                <w:sz w:val="18"/>
                <w:szCs w:val="18"/>
              </w:rPr>
              <w:t>套</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ascii="宋体" w:hAnsi="宋体" w:eastAsia="宋体" w:cs="宋体"/>
                <w:bCs/>
                <w:kern w:val="0"/>
                <w:sz w:val="18"/>
                <w:szCs w:val="18"/>
              </w:rPr>
            </w:pPr>
            <w:r>
              <w:rPr>
                <w:rFonts w:hint="eastAsia" w:ascii="宋体" w:hAnsi="宋体" w:eastAsia="宋体" w:cs="宋体"/>
                <w:bCs/>
                <w:kern w:val="0"/>
                <w:sz w:val="18"/>
                <w:szCs w:val="18"/>
              </w:rPr>
              <w:t>450</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ascii="宋体" w:hAnsi="宋体" w:eastAsia="宋体" w:cs="宋体"/>
                <w:sz w:val="18"/>
                <w:szCs w:val="18"/>
                <w:u w:val="single"/>
              </w:rPr>
            </w:pPr>
            <w:r>
              <w:rPr>
                <w:rFonts w:hint="eastAsia" w:ascii="宋体" w:hAnsi="宋体" w:eastAsia="宋体" w:cs="宋体"/>
                <w:sz w:val="18"/>
                <w:szCs w:val="18"/>
              </w:rPr>
              <w:t>采购温州市交通投资集团的</w:t>
            </w:r>
            <w:r>
              <w:rPr>
                <w:rFonts w:hint="eastAsia" w:ascii="宋体" w:hAnsi="宋体" w:eastAsia="宋体" w:cs="宋体"/>
                <w:bCs/>
                <w:kern w:val="0"/>
                <w:sz w:val="18"/>
                <w:szCs w:val="18"/>
              </w:rPr>
              <w:t>数字化平台软件系统1套</w:t>
            </w:r>
            <w:r>
              <w:rPr>
                <w:rFonts w:hint="eastAsia" w:ascii="宋体" w:hAnsi="宋体" w:eastAsia="宋体" w:cs="宋体"/>
                <w:sz w:val="18"/>
                <w:szCs w:val="18"/>
              </w:rPr>
              <w:t>（含相关云资源服务、云安全服务等），要求合同签订后十个月内完成项目开发并具备试运行条件，具体采购内容及详细技术要求见采购文件相关部分。</w:t>
            </w:r>
          </w:p>
        </w:tc>
      </w:tr>
    </w:tbl>
    <w:p>
      <w:pPr>
        <w:widowControl/>
        <w:spacing w:before="60" w:after="60"/>
        <w:ind w:right="60"/>
        <w:jc w:val="left"/>
        <w:rPr>
          <w:rFonts w:ascii="宋体" w:hAnsi="宋体" w:eastAsia="宋体" w:cs="宋体"/>
          <w:bCs/>
          <w:kern w:val="0"/>
          <w:szCs w:val="21"/>
        </w:rPr>
      </w:pPr>
      <w:bookmarkStart w:id="3" w:name="B09_招标内容"/>
      <w:bookmarkEnd w:id="3"/>
      <w:r>
        <w:rPr>
          <w:rFonts w:hint="eastAsia" w:ascii="宋体" w:hAnsi="宋体" w:eastAsia="宋体" w:cs="宋体"/>
          <w:bCs/>
          <w:kern w:val="0"/>
          <w:szCs w:val="21"/>
        </w:rPr>
        <w:t>八、投标供应商资格要求：</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1、符合《温州市市属国有企业采购管理办法（试行）》第十五条对投标供应商参加温州市国有企业采购活动应当具备的基本资格条件；</w:t>
      </w:r>
    </w:p>
    <w:p>
      <w:pPr>
        <w:widowControl/>
        <w:ind w:firstLine="420" w:firstLineChars="200"/>
        <w:jc w:val="left"/>
        <w:rPr>
          <w:rFonts w:ascii="宋体" w:hAnsi="宋体" w:eastAsia="宋体" w:cs="宋体"/>
          <w:color w:val="0000FF"/>
          <w:szCs w:val="21"/>
        </w:rPr>
      </w:pPr>
      <w:r>
        <w:rPr>
          <w:rFonts w:hint="eastAsia" w:ascii="宋体" w:hAnsi="宋体" w:eastAsia="宋体" w:cs="宋体"/>
          <w:color w:val="0000FF"/>
          <w:szCs w:val="21"/>
        </w:rPr>
        <w:t>2、</w:t>
      </w:r>
      <w:r>
        <w:rPr>
          <w:rFonts w:hint="eastAsia" w:ascii="宋体" w:hAnsi="宋体" w:eastAsia="宋体" w:cs="宋体"/>
          <w:kern w:val="0"/>
          <w:szCs w:val="21"/>
        </w:rPr>
        <w:t>依据相关文件规定。金融、保险、通讯等特定行业的全国性企业所设立的区域性分支机构，如果已经依法办理了工商、税务和社保登记手续，并且获得总公司（总机构）授权或能够提供房产权证或其他有效财产证明材料（在投标文件中提供相关材料），证明其具备实际承担责任的能力和法定的缔结合同能力，可以允许其独立参加本次采购活动，并由其单位负责人签署相关文件材料。</w:t>
      </w:r>
    </w:p>
    <w:p>
      <w:pPr>
        <w:widowControl/>
        <w:ind w:firstLine="420" w:firstLineChars="200"/>
        <w:jc w:val="left"/>
        <w:rPr>
          <w:rFonts w:ascii="宋体" w:hAnsi="宋体" w:eastAsia="宋体" w:cs="宋体"/>
          <w:szCs w:val="21"/>
        </w:rPr>
      </w:pPr>
      <w:r>
        <w:rPr>
          <w:rFonts w:hint="eastAsia" w:ascii="宋体" w:hAnsi="宋体" w:eastAsia="宋体" w:cs="宋体"/>
          <w:szCs w:val="21"/>
        </w:rPr>
        <w:t>3、投标供应商未被列入“信用中国”网(www.creditchina.gov.cn)失信被执行人、重大税收违法案件当事人名单；</w:t>
      </w:r>
    </w:p>
    <w:p>
      <w:pPr>
        <w:widowControl/>
        <w:ind w:firstLine="420" w:firstLineChars="200"/>
        <w:jc w:val="left"/>
        <w:rPr>
          <w:rFonts w:ascii="宋体" w:hAnsi="宋体" w:eastAsia="宋体" w:cs="宋体"/>
          <w:szCs w:val="21"/>
        </w:rPr>
      </w:pPr>
      <w:r>
        <w:rPr>
          <w:rFonts w:hint="eastAsia" w:ascii="宋体" w:hAnsi="宋体" w:eastAsia="宋体" w:cs="宋体"/>
          <w:szCs w:val="21"/>
        </w:rPr>
        <w:t>4、单位负责人为同一人或者存在直接控股、管理关系的不同供应商，不得同时参加本项目投标活动；</w:t>
      </w:r>
    </w:p>
    <w:p>
      <w:pPr>
        <w:widowControl/>
        <w:ind w:firstLine="420" w:firstLineChars="200"/>
        <w:jc w:val="left"/>
        <w:rPr>
          <w:rFonts w:ascii="宋体" w:hAnsi="宋体" w:eastAsia="宋体" w:cs="宋体"/>
          <w:kern w:val="0"/>
          <w:szCs w:val="21"/>
        </w:rPr>
      </w:pPr>
      <w:r>
        <w:rPr>
          <w:rFonts w:hint="eastAsia" w:ascii="宋体" w:hAnsi="宋体" w:eastAsia="宋体" w:cs="宋体"/>
          <w:szCs w:val="21"/>
        </w:rPr>
        <w:t>5、</w:t>
      </w:r>
      <w:r>
        <w:rPr>
          <w:rFonts w:hint="eastAsia" w:ascii="宋体" w:hAnsi="宋体" w:eastAsia="宋体" w:cs="宋体"/>
          <w:kern w:val="0"/>
          <w:szCs w:val="21"/>
        </w:rPr>
        <w:t>本项目不接受联合体投标。</w:t>
      </w:r>
      <w:r>
        <w:rPr>
          <w:rFonts w:hint="eastAsia" w:ascii="宋体" w:hAnsi="宋体" w:eastAsia="宋体" w:cs="宋体"/>
          <w:kern w:val="0"/>
          <w:szCs w:val="21"/>
        </w:rPr>
        <w:tab/>
      </w:r>
    </w:p>
    <w:p>
      <w:pPr>
        <w:widowControl/>
        <w:spacing w:before="60" w:after="60"/>
        <w:ind w:right="60"/>
        <w:jc w:val="left"/>
        <w:rPr>
          <w:rFonts w:ascii="宋体" w:hAnsi="宋体" w:eastAsia="宋体" w:cs="宋体"/>
          <w:kern w:val="0"/>
          <w:szCs w:val="21"/>
        </w:rPr>
      </w:pPr>
      <w:r>
        <w:rPr>
          <w:rFonts w:hint="eastAsia" w:ascii="宋体" w:hAnsi="宋体" w:eastAsia="宋体" w:cs="宋体"/>
          <w:bCs/>
          <w:kern w:val="0"/>
          <w:szCs w:val="21"/>
        </w:rPr>
        <w:t>九、发售</w:t>
      </w:r>
      <w:r>
        <w:rPr>
          <w:rFonts w:hint="eastAsia" w:ascii="宋体" w:hAnsi="宋体" w:eastAsia="宋体" w:cs="宋体"/>
          <w:kern w:val="0"/>
          <w:szCs w:val="21"/>
        </w:rPr>
        <w:t>采购文件时间及地点：</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1、报名时间及采购文件发售时间：公告发布之日起至投标截止时间止（上午08：30-11：30，下午14：30-17：00，节假日除外，未购买采购文件的潜在投标人拒绝参加投标。）；</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Cs/>
          <w:kern w:val="0"/>
          <w:szCs w:val="21"/>
        </w:rPr>
        <w:t>购领</w:t>
      </w:r>
      <w:r>
        <w:rPr>
          <w:rFonts w:hint="eastAsia" w:ascii="宋体" w:hAnsi="宋体" w:eastAsia="宋体" w:cs="宋体"/>
          <w:kern w:val="0"/>
          <w:szCs w:val="21"/>
        </w:rPr>
        <w:t>采购文件地址：鉴于目前疫情形势，本项目暂不接受现场获取采购文件；</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3、采购文件售价：人民币500元整（售后不退）；</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4、报名方式、购买标书及注意事项：</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网上报名（政采云报名）：请供应商登录浙江政府采购网（http://zfcg.czt.zj.gov.cn），进入“政采云”平台进行注册并报名。网上报名成功后，请联系采购代理公司并将标书购买费汇入代理公司账户（缴纳报名费后将缴费截图等资料发代理机构电子邮箱517411407@qq.com）：</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单  位 名 称：浙江国际招（投）标公司</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开  户 银 行：工商银行杭州市武林支行</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账        号：1202021209906782015</w:t>
      </w:r>
    </w:p>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十、投标截止时间：</w:t>
      </w:r>
      <w:bookmarkStart w:id="4" w:name="B23_谈判响应文件提交截止日期"/>
      <w:bookmarkEnd w:id="4"/>
      <w:r>
        <w:rPr>
          <w:rFonts w:hint="eastAsia" w:ascii="宋体" w:hAnsi="宋体" w:eastAsia="宋体" w:cs="宋体"/>
          <w:bCs/>
          <w:kern w:val="0"/>
          <w:szCs w:val="21"/>
        </w:rPr>
        <w:t>投标截止时间：</w:t>
      </w:r>
      <w:r>
        <w:rPr>
          <w:rFonts w:hint="eastAsia" w:ascii="宋体" w:hAnsi="宋体" w:eastAsia="宋体" w:cs="宋体"/>
          <w:bCs/>
          <w:color w:val="0000FF"/>
          <w:kern w:val="0"/>
          <w:szCs w:val="21"/>
        </w:rPr>
        <w:t>2021年10月21日9时30分(北京时间，下同)</w:t>
      </w:r>
      <w:r>
        <w:rPr>
          <w:rFonts w:hint="eastAsia" w:ascii="宋体" w:hAnsi="宋体" w:eastAsia="宋体" w:cs="宋体"/>
          <w:bCs/>
          <w:kern w:val="0"/>
          <w:szCs w:val="21"/>
        </w:rPr>
        <w:t>。</w:t>
      </w:r>
    </w:p>
    <w:p>
      <w:pPr>
        <w:widowControl/>
        <w:spacing w:before="60" w:after="60"/>
        <w:ind w:left="575" w:leftChars="29" w:right="60" w:hanging="514" w:hangingChars="245"/>
        <w:jc w:val="left"/>
        <w:rPr>
          <w:rFonts w:ascii="宋体" w:hAnsi="宋体" w:eastAsia="宋体" w:cs="宋体"/>
          <w:bCs/>
          <w:kern w:val="0"/>
          <w:szCs w:val="21"/>
        </w:rPr>
      </w:pPr>
      <w:r>
        <w:rPr>
          <w:rFonts w:hint="eastAsia" w:ascii="宋体" w:hAnsi="宋体" w:eastAsia="宋体" w:cs="宋体"/>
          <w:bCs/>
          <w:kern w:val="0"/>
          <w:szCs w:val="21"/>
        </w:rPr>
        <w:t>十一、投标文件提交地点：温州市政务服务管理中心收标区 (温州市鹿城区会展路1268号温州市民中心A座3楼公共资源交易专区)（详见当天大厅大屏幕）。</w:t>
      </w:r>
    </w:p>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十二、开标时间：</w:t>
      </w:r>
      <w:bookmarkStart w:id="5" w:name="B26_谈判时间日期"/>
      <w:bookmarkEnd w:id="5"/>
      <w:r>
        <w:rPr>
          <w:rFonts w:hint="eastAsia" w:ascii="宋体" w:hAnsi="宋体" w:eastAsia="宋体" w:cs="宋体"/>
          <w:bCs/>
          <w:kern w:val="0"/>
          <w:szCs w:val="21"/>
        </w:rPr>
        <w:t>同投标截止时间。</w:t>
      </w:r>
    </w:p>
    <w:p>
      <w:pPr>
        <w:widowControl/>
        <w:spacing w:before="60" w:after="60"/>
        <w:ind w:left="575" w:leftChars="29" w:right="60" w:hanging="514" w:hangingChars="245"/>
        <w:jc w:val="left"/>
        <w:rPr>
          <w:rFonts w:ascii="宋体" w:hAnsi="宋体" w:eastAsia="宋体" w:cs="宋体"/>
          <w:szCs w:val="21"/>
          <w:shd w:val="clear" w:color="auto" w:fill="FFFFFF"/>
        </w:rPr>
      </w:pPr>
      <w:r>
        <w:rPr>
          <w:rFonts w:hint="eastAsia" w:ascii="宋体" w:hAnsi="宋体" w:eastAsia="宋体" w:cs="宋体"/>
          <w:bCs/>
          <w:kern w:val="0"/>
          <w:szCs w:val="21"/>
        </w:rPr>
        <w:t>十三、开标地点：</w:t>
      </w:r>
      <w:r>
        <w:rPr>
          <w:rFonts w:hint="eastAsia" w:ascii="宋体" w:hAnsi="宋体" w:eastAsia="宋体" w:cs="宋体"/>
          <w:kern w:val="0"/>
          <w:szCs w:val="21"/>
        </w:rPr>
        <w:t>温州市政务服务管理中心</w:t>
      </w:r>
      <w:r>
        <w:rPr>
          <w:rFonts w:hint="eastAsia" w:ascii="宋体" w:hAnsi="宋体" w:eastAsia="宋体" w:cs="宋体"/>
          <w:bCs/>
          <w:kern w:val="0"/>
          <w:szCs w:val="21"/>
        </w:rPr>
        <w:t>开标区</w:t>
      </w:r>
      <w:r>
        <w:rPr>
          <w:rFonts w:hint="eastAsia" w:ascii="宋体" w:hAnsi="宋体" w:eastAsia="宋体" w:cs="宋体"/>
          <w:szCs w:val="21"/>
          <w:shd w:val="clear" w:color="auto" w:fill="FFFFFF"/>
        </w:rPr>
        <w:t>。</w:t>
      </w:r>
    </w:p>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十四、投标保证金及交付方式：</w:t>
      </w:r>
    </w:p>
    <w:p>
      <w:pPr>
        <w:widowControl/>
        <w:spacing w:before="60" w:after="60" w:line="280" w:lineRule="exact"/>
        <w:ind w:right="62" w:firstLine="420" w:firstLineChars="200"/>
        <w:jc w:val="left"/>
        <w:rPr>
          <w:rFonts w:ascii="宋体" w:hAnsi="宋体" w:eastAsia="宋体" w:cs="宋体"/>
          <w:kern w:val="0"/>
          <w:szCs w:val="21"/>
        </w:rPr>
      </w:pPr>
      <w:bookmarkStart w:id="6" w:name="B29_谈判保证金"/>
      <w:bookmarkEnd w:id="6"/>
      <w:bookmarkStart w:id="7" w:name="_Hlk3381632"/>
      <w:bookmarkStart w:id="8" w:name="_Hlk516555339"/>
      <w:r>
        <w:rPr>
          <w:rFonts w:hint="eastAsia" w:ascii="宋体" w:hAnsi="宋体" w:eastAsia="宋体" w:cs="宋体"/>
          <w:kern w:val="0"/>
          <w:szCs w:val="21"/>
        </w:rPr>
        <w:t>投标保证金：人民币20000元整，采用银行转账形式。如投标人为全国性企业所设立的区域性分支机构的，其投标保证金由上级单位统一支付的，须在授权委托书中说明。保证金缴纳截止时间：与投标截止时间相同。投标人缴纳报价保证金后，请携带保证金缴纳凭证（银行转账支票进账单、电汇单等，缴纳保证金用途须注明项目名称）复印件在提交投标文件的同时递交给采购代理机构。</w:t>
      </w:r>
    </w:p>
    <w:p>
      <w:pPr>
        <w:widowControl/>
        <w:spacing w:before="60" w:after="60" w:line="280" w:lineRule="exact"/>
        <w:ind w:right="62" w:firstLine="420" w:firstLineChars="200"/>
        <w:jc w:val="left"/>
        <w:rPr>
          <w:rFonts w:ascii="宋体" w:hAnsi="宋体" w:eastAsia="宋体" w:cs="宋体"/>
          <w:kern w:val="0"/>
          <w:szCs w:val="21"/>
        </w:rPr>
      </w:pPr>
      <w:r>
        <w:rPr>
          <w:rFonts w:hint="eastAsia" w:ascii="宋体" w:hAnsi="宋体" w:eastAsia="宋体" w:cs="宋体"/>
          <w:kern w:val="0"/>
          <w:szCs w:val="21"/>
        </w:rPr>
        <w:t>户名：政采云有限公司</w:t>
      </w:r>
    </w:p>
    <w:p>
      <w:pPr>
        <w:widowControl/>
        <w:spacing w:before="60" w:after="60" w:line="280" w:lineRule="exact"/>
        <w:ind w:right="62" w:firstLine="420" w:firstLineChars="200"/>
        <w:jc w:val="left"/>
        <w:rPr>
          <w:rFonts w:ascii="宋体" w:hAnsi="宋体" w:eastAsia="宋体" w:cs="宋体"/>
          <w:kern w:val="0"/>
          <w:szCs w:val="21"/>
        </w:rPr>
      </w:pPr>
      <w:r>
        <w:rPr>
          <w:rFonts w:hint="eastAsia" w:ascii="宋体" w:hAnsi="宋体" w:eastAsia="宋体" w:cs="宋体"/>
          <w:kern w:val="0"/>
          <w:szCs w:val="21"/>
        </w:rPr>
        <w:t>开户银行：中国农业银行杭州西湖支行</w:t>
      </w:r>
    </w:p>
    <w:p>
      <w:pPr>
        <w:widowControl/>
        <w:spacing w:before="60" w:after="60" w:line="280" w:lineRule="exact"/>
        <w:ind w:right="62" w:firstLine="420" w:firstLineChars="200"/>
        <w:jc w:val="left"/>
        <w:rPr>
          <w:rFonts w:ascii="宋体" w:hAnsi="宋体" w:eastAsia="宋体" w:cs="宋体"/>
          <w:bCs/>
          <w:color w:val="0000FF"/>
          <w:kern w:val="0"/>
          <w:szCs w:val="21"/>
        </w:rPr>
      </w:pPr>
      <w:r>
        <w:rPr>
          <w:rFonts w:hint="eastAsia" w:ascii="宋体" w:hAnsi="宋体" w:eastAsia="宋体" w:cs="宋体"/>
          <w:kern w:val="0"/>
          <w:szCs w:val="21"/>
        </w:rPr>
        <w:t>账号</w:t>
      </w:r>
      <w:r>
        <w:rPr>
          <w:rFonts w:hint="eastAsia" w:ascii="宋体" w:hAnsi="宋体" w:eastAsia="宋体" w:cs="宋体"/>
          <w:color w:val="0000FF"/>
          <w:kern w:val="0"/>
          <w:szCs w:val="21"/>
        </w:rPr>
        <w:t>：190001010400276210000002565</w:t>
      </w:r>
    </w:p>
    <w:bookmarkEnd w:id="7"/>
    <w:bookmarkEnd w:id="8"/>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十五、其他事项：</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1、采购公告期限：5个工作日，从公告在浙江政府采购网上发布的次日起算；</w:t>
      </w:r>
    </w:p>
    <w:p>
      <w:pPr>
        <w:widowControl/>
        <w:spacing w:before="60" w:after="60" w:line="240" w:lineRule="exact"/>
        <w:ind w:left="62" w:right="62" w:firstLine="420" w:firstLineChars="200"/>
        <w:jc w:val="left"/>
        <w:rPr>
          <w:rFonts w:ascii="宋体" w:hAnsi="宋体" w:eastAsia="宋体" w:cs="宋体"/>
          <w:bCs/>
          <w:kern w:val="0"/>
          <w:szCs w:val="21"/>
          <w:u w:val="single"/>
        </w:rPr>
      </w:pPr>
      <w:bookmarkStart w:id="9" w:name="_Hlk3382472"/>
      <w:r>
        <w:rPr>
          <w:rFonts w:hint="eastAsia" w:ascii="宋体" w:hAnsi="宋体" w:eastAsia="宋体" w:cs="宋体"/>
          <w:bCs/>
          <w:kern w:val="0"/>
          <w:szCs w:val="21"/>
          <w:u w:val="singl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采购公告附件的采购文件仅供阅览使用，未按照本公告规定的方式获取采购文件的潜在供应商提起的质疑，采购人及采购组织机构将不予受理、答复。</w:t>
      </w:r>
    </w:p>
    <w:p>
      <w:pPr>
        <w:widowControl/>
        <w:spacing w:before="60" w:after="60" w:line="240" w:lineRule="exact"/>
        <w:ind w:left="62" w:right="62" w:firstLine="420" w:firstLineChars="200"/>
        <w:jc w:val="left"/>
        <w:rPr>
          <w:rFonts w:ascii="宋体" w:hAnsi="宋体" w:eastAsia="宋体" w:cs="宋体"/>
          <w:bCs/>
          <w:kern w:val="0"/>
          <w:szCs w:val="21"/>
          <w:u w:val="single"/>
        </w:rPr>
      </w:pPr>
      <w:r>
        <w:rPr>
          <w:rFonts w:hint="eastAsia" w:ascii="宋体" w:hAnsi="宋体" w:eastAsia="宋体" w:cs="宋体"/>
          <w:bCs/>
          <w:kern w:val="0"/>
          <w:szCs w:val="21"/>
          <w:u w:val="single"/>
        </w:rPr>
        <w:t>3、质疑供应商对采购人、采购代理机构的答复不满意或者采购人、采购代理机构未在规定的时间内作出答复的，可以在答复期满后15个工作日内向温州市交通发展集团有限公司纪检监察室投诉。</w:t>
      </w:r>
    </w:p>
    <w:p>
      <w:pPr>
        <w:widowControl/>
        <w:spacing w:before="60" w:after="60" w:line="24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u w:val="single"/>
        </w:rPr>
        <w:t>4、温州市交通发展集团有限公司负责对投标供应商反映的企业本部及所属企业在采购活动中出现的违法违规问题进行投诉回复。投标供应商认为温州市交通发展集团有限公司投诉回复处理结果不合法的，可以采购人或代理机构为对象依法向人民法院提起诉讼</w:t>
      </w:r>
      <w:r>
        <w:rPr>
          <w:rFonts w:hint="eastAsia" w:ascii="宋体" w:hAnsi="宋体" w:eastAsia="宋体" w:cs="宋体"/>
          <w:bCs/>
          <w:kern w:val="0"/>
          <w:szCs w:val="21"/>
        </w:rPr>
        <w:t>。</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5、采购公告附件的采购文件仅供阅览使用，未按照本公告规定的方式获取采购文件的潜在供应商提起的质疑，采购人及采购组织机构将不予受理、答复。</w:t>
      </w:r>
    </w:p>
    <w:p>
      <w:pPr>
        <w:widowControl/>
        <w:spacing w:before="60" w:after="60"/>
        <w:ind w:left="62" w:right="62" w:firstLine="420" w:firstLineChars="200"/>
        <w:jc w:val="left"/>
        <w:rPr>
          <w:rFonts w:ascii="宋体" w:hAnsi="宋体" w:eastAsia="宋体" w:cs="宋体"/>
          <w:bCs/>
          <w:kern w:val="0"/>
          <w:szCs w:val="21"/>
        </w:rPr>
      </w:pPr>
      <w:bookmarkStart w:id="10" w:name="B38_其他事项"/>
      <w:r>
        <w:rPr>
          <w:rFonts w:hint="eastAsia" w:ascii="宋体" w:hAnsi="宋体" w:eastAsia="宋体" w:cs="宋体"/>
          <w:bCs/>
          <w:kern w:val="0"/>
          <w:szCs w:val="21"/>
        </w:rPr>
        <w:t>6、</w:t>
      </w:r>
      <w:bookmarkEnd w:id="10"/>
      <w:r>
        <w:rPr>
          <w:rFonts w:hint="eastAsia" w:ascii="宋体" w:hAnsi="宋体" w:eastAsia="宋体" w:cs="宋体"/>
          <w:bCs/>
          <w:kern w:val="0"/>
          <w:szCs w:val="21"/>
        </w:rPr>
        <w:t>供应商如对采购文件有疑问应按采购文件规定的询疑截止时间前提出，逾期提出的，采购组织机构可以不予受理、答复。</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7、书面质疑受理地点：温州市黎明路机械大厦804室，联系人：潘先生，联系电话：13777786193。</w:t>
      </w:r>
    </w:p>
    <w:bookmarkEnd w:id="9"/>
    <w:p>
      <w:pPr>
        <w:widowControl/>
        <w:spacing w:before="60" w:after="60"/>
        <w:ind w:left="62" w:right="62" w:firstLine="420" w:firstLineChars="200"/>
        <w:jc w:val="left"/>
        <w:rPr>
          <w:rFonts w:ascii="宋体" w:hAnsi="宋体" w:eastAsia="宋体" w:cs="宋体"/>
          <w:b/>
          <w:kern w:val="0"/>
          <w:szCs w:val="21"/>
        </w:rPr>
      </w:pPr>
      <w:r>
        <w:rPr>
          <w:rFonts w:hint="eastAsia" w:ascii="宋体" w:hAnsi="宋体" w:eastAsia="宋体" w:cs="宋体"/>
          <w:bCs/>
          <w:kern w:val="0"/>
          <w:szCs w:val="21"/>
        </w:rPr>
        <w:t>8、</w:t>
      </w:r>
      <w:r>
        <w:rPr>
          <w:rFonts w:hint="eastAsia" w:ascii="宋体" w:hAnsi="宋体" w:eastAsia="宋体" w:cs="宋体"/>
          <w:b/>
          <w:kern w:val="0"/>
          <w:szCs w:val="21"/>
        </w:rPr>
        <w:t>根据温州疫情防控需求，参与本项目的投标人代表（法定代表人或其授权委托人）必须遵守以下要求，否则不得参与项目投标：</w:t>
      </w:r>
    </w:p>
    <w:p>
      <w:pPr>
        <w:widowControl/>
        <w:spacing w:before="60" w:after="60"/>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1）投标人代表在进入开标地点前必须出示通信大数据行程卡、健康码，且两者必须均显示绿码。如投标人代表的健康码或行程卡无法正常展示的，视同非绿码。</w:t>
      </w:r>
    </w:p>
    <w:p>
      <w:pPr>
        <w:widowControl/>
        <w:spacing w:before="60" w:after="60"/>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2）凡来自有报告核酸阳性病例所在地及中高风险所在设区市或县（市、区）人员不得作为投标人代表。</w:t>
      </w:r>
    </w:p>
    <w:p>
      <w:pPr>
        <w:widowControl/>
        <w:spacing w:before="60" w:after="60"/>
        <w:ind w:left="62" w:right="62" w:firstLine="422" w:firstLineChars="200"/>
        <w:jc w:val="left"/>
        <w:rPr>
          <w:rFonts w:ascii="宋体" w:hAnsi="宋体" w:eastAsia="宋体" w:cs="宋体"/>
          <w:bCs/>
          <w:kern w:val="0"/>
          <w:szCs w:val="21"/>
        </w:rPr>
      </w:pPr>
      <w:r>
        <w:rPr>
          <w:rFonts w:hint="eastAsia" w:ascii="宋体" w:hAnsi="宋体" w:eastAsia="宋体" w:cs="宋体"/>
          <w:b/>
          <w:kern w:val="0"/>
          <w:szCs w:val="21"/>
        </w:rPr>
        <w:t>3）投标人代表若为省外来温、返温人员，在进入开标地点前必须提供48小时内核酸检测阴性证明。</w:t>
      </w:r>
    </w:p>
    <w:p>
      <w:pPr>
        <w:widowControl/>
        <w:spacing w:before="60" w:after="60"/>
        <w:ind w:left="60" w:right="60"/>
        <w:jc w:val="left"/>
        <w:rPr>
          <w:rFonts w:ascii="宋体" w:hAnsi="宋体" w:eastAsia="宋体" w:cs="宋体"/>
          <w:bCs/>
          <w:kern w:val="0"/>
          <w:szCs w:val="21"/>
        </w:rPr>
      </w:pPr>
      <w:r>
        <w:rPr>
          <w:rFonts w:hint="eastAsia" w:ascii="宋体" w:hAnsi="宋体" w:eastAsia="宋体" w:cs="宋体"/>
          <w:bCs/>
          <w:kern w:val="0"/>
          <w:szCs w:val="21"/>
        </w:rPr>
        <w:t>十六、联系方式</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采购人名称：温州市交通发展集团有限公司</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地  址：温州市鹿城区车站大道669号尚品商务楼10楼</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联系人：王先生，联系电话：0577-88085510</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采购代理机构名称：浙江国际招（投）标公司</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地 址：温州市黎明西路机械大厦804室</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 xml:space="preserve">联系人：易先生    </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联系电话：15305718087  邮箱：517411407@qq.com</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监督部门：温州市交通发展集团有限公司纪检监察室    </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联系人：曾女士</w:t>
      </w:r>
    </w:p>
    <w:p>
      <w:pPr>
        <w:widowControl/>
        <w:spacing w:before="60" w:after="60"/>
        <w:ind w:left="62" w:right="62" w:firstLine="420" w:firstLineChars="200"/>
        <w:jc w:val="left"/>
        <w:rPr>
          <w:rFonts w:ascii="宋体" w:hAnsi="宋体" w:eastAsia="宋体" w:cs="宋体"/>
        </w:rPr>
      </w:pPr>
      <w:r>
        <w:rPr>
          <w:rFonts w:hint="eastAsia" w:ascii="宋体" w:hAnsi="宋体" w:eastAsia="宋体" w:cs="宋体"/>
        </w:rPr>
        <w:t>联系电话：0577-85559092</w:t>
      </w:r>
    </w:p>
    <w:p>
      <w:pPr>
        <w:pStyle w:val="10"/>
        <w:rPr>
          <w:rFonts w:ascii="宋体" w:hAnsi="宋体" w:eastAsia="宋体" w:cs="宋体"/>
        </w:rPr>
      </w:pP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kern w:val="0"/>
          <w:szCs w:val="21"/>
        </w:rPr>
        <w:t>温州市交通发展集团有限公司</w:t>
      </w:r>
      <w:r>
        <w:rPr>
          <w:rFonts w:hint="eastAsia" w:ascii="宋体" w:hAnsi="宋体" w:eastAsia="宋体" w:cs="宋体"/>
          <w:bCs/>
          <w:kern w:val="0"/>
          <w:szCs w:val="21"/>
        </w:rPr>
        <w:t xml:space="preserve"> </w:t>
      </w: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浙江国际招（投）标公司</w:t>
      </w:r>
    </w:p>
    <w:p>
      <w:pPr>
        <w:widowControl/>
        <w:spacing w:before="60" w:after="60"/>
        <w:ind w:left="62" w:right="62" w:firstLine="420" w:firstLineChars="200"/>
        <w:jc w:val="right"/>
        <w:rPr>
          <w:rFonts w:ascii="宋体" w:hAnsi="宋体" w:eastAsia="宋体" w:cs="宋体"/>
          <w:color w:val="0000FF"/>
          <w:kern w:val="0"/>
          <w:szCs w:val="21"/>
        </w:rPr>
      </w:pPr>
      <w:r>
        <w:rPr>
          <w:rFonts w:hint="eastAsia" w:ascii="宋体" w:hAnsi="宋体" w:eastAsia="宋体" w:cs="宋体"/>
          <w:color w:val="0000FF"/>
          <w:kern w:val="0"/>
          <w:szCs w:val="21"/>
        </w:rPr>
        <w:t>2021年9月30日</w:t>
      </w:r>
    </w:p>
    <w:p>
      <w:pPr>
        <w:jc w:val="center"/>
        <w:rPr>
          <w:rFonts w:ascii="宋体" w:hAnsi="宋体" w:eastAsia="宋体" w:cs="宋体"/>
          <w:sz w:val="24"/>
        </w:rPr>
      </w:pPr>
      <w:bookmarkStart w:id="11" w:name="_Toc491780522"/>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温州市交通发展集团有限公司关于数字化平台项目的征求意见公示</w:t>
      </w:r>
      <w:bookmarkEnd w:id="11"/>
    </w:p>
    <w:p>
      <w:pPr>
        <w:rPr>
          <w:rFonts w:ascii="宋体" w:hAnsi="宋体" w:eastAsia="宋体" w:cs="宋体"/>
        </w:rPr>
      </w:pP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浙江国际招（投）标公司受温州市交通发展集团有限公司的委托，就数字化平台项目以公开招标方式进行采购。现将本项目采购文件公布如下（详见附件），并公开征求投标供应商及专家意见。</w:t>
      </w:r>
    </w:p>
    <w:p>
      <w:pPr>
        <w:widowControl/>
        <w:spacing w:before="60" w:after="60"/>
        <w:ind w:right="62"/>
        <w:jc w:val="left"/>
        <w:rPr>
          <w:rFonts w:ascii="宋体" w:hAnsi="宋体" w:eastAsia="宋体" w:cs="宋体"/>
          <w:b/>
          <w:kern w:val="0"/>
          <w:szCs w:val="21"/>
        </w:rPr>
      </w:pPr>
      <w:r>
        <w:rPr>
          <w:rFonts w:hint="eastAsia" w:ascii="宋体" w:hAnsi="宋体" w:eastAsia="宋体" w:cs="宋体"/>
          <w:b/>
          <w:kern w:val="0"/>
          <w:szCs w:val="21"/>
        </w:rPr>
        <w:t>一、征求意见范围：</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2、投标供应商资格条件是否具有明显倾向性和歧视性；</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pPr>
        <w:widowControl/>
        <w:spacing w:before="60" w:after="60"/>
        <w:ind w:right="62"/>
        <w:jc w:val="left"/>
        <w:rPr>
          <w:rFonts w:ascii="宋体" w:hAnsi="宋体" w:eastAsia="宋体" w:cs="宋体"/>
          <w:b/>
          <w:kern w:val="0"/>
          <w:szCs w:val="21"/>
        </w:rPr>
      </w:pPr>
      <w:r>
        <w:rPr>
          <w:rFonts w:hint="eastAsia" w:ascii="宋体" w:hAnsi="宋体" w:eastAsia="宋体" w:cs="宋体"/>
          <w:b/>
          <w:kern w:val="0"/>
          <w:szCs w:val="21"/>
        </w:rPr>
        <w:t>二、征求意见的回复：</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各投标供应商及专家提出修改理由和建议的，请于</w:t>
      </w:r>
      <w:r>
        <w:rPr>
          <w:rFonts w:hint="eastAsia" w:ascii="宋体" w:hAnsi="宋体" w:eastAsia="宋体" w:cs="宋体"/>
          <w:bCs/>
          <w:color w:val="0000FF"/>
          <w:kern w:val="0"/>
          <w:szCs w:val="21"/>
        </w:rPr>
        <w:t>2021年10月9日下午17时00分</w:t>
      </w:r>
      <w:r>
        <w:rPr>
          <w:rFonts w:hint="eastAsia" w:ascii="宋体" w:hAnsi="宋体" w:eastAsia="宋体" w:cs="宋体"/>
          <w:bCs/>
          <w:kern w:val="0"/>
          <w:szCs w:val="21"/>
        </w:rPr>
        <w:t>前将书面材料签字（盖公章）并密封后送至温州市黎明西路机械大厦804室采购代理公司，或先将扫描件及电子版发送至邮箱5174114073@qq.com，并同时将该原件书面寄至浙江国际招（投）标公司。</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联系人：易先生，联系电话：15105718087。</w:t>
      </w:r>
    </w:p>
    <w:p>
      <w:pPr>
        <w:widowControl/>
        <w:spacing w:before="60" w:after="60"/>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对逾期送达的意见、建议书恕不接受。</w:t>
      </w:r>
    </w:p>
    <w:p>
      <w:pPr>
        <w:widowControl/>
        <w:spacing w:before="60" w:after="60"/>
        <w:ind w:right="62"/>
        <w:jc w:val="left"/>
        <w:rPr>
          <w:rFonts w:ascii="宋体" w:hAnsi="宋体" w:eastAsia="宋体" w:cs="宋体"/>
          <w:b/>
          <w:kern w:val="0"/>
          <w:szCs w:val="21"/>
        </w:rPr>
      </w:pPr>
      <w:r>
        <w:rPr>
          <w:rFonts w:hint="eastAsia" w:ascii="宋体" w:hAnsi="宋体" w:eastAsia="宋体" w:cs="宋体"/>
          <w:b/>
          <w:kern w:val="0"/>
          <w:szCs w:val="21"/>
        </w:rPr>
        <w:t>三、附本项目采购文件</w:t>
      </w: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温州市交通发展集团有限公司</w:t>
      </w: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浙江国际招（投）标公司</w:t>
      </w:r>
    </w:p>
    <w:p>
      <w:pPr>
        <w:widowControl/>
        <w:spacing w:before="60" w:after="60"/>
        <w:ind w:left="62" w:right="62" w:firstLine="420" w:firstLineChars="200"/>
        <w:jc w:val="right"/>
        <w:rPr>
          <w:rFonts w:ascii="宋体" w:hAnsi="宋体" w:eastAsia="宋体" w:cs="宋体"/>
          <w:bCs/>
          <w:kern w:val="0"/>
          <w:szCs w:val="21"/>
        </w:rPr>
      </w:pPr>
      <w:r>
        <w:rPr>
          <w:rFonts w:hint="eastAsia" w:ascii="宋体" w:hAnsi="宋体" w:eastAsia="宋体" w:cs="宋体"/>
          <w:bCs/>
          <w:color w:val="0000FF"/>
          <w:kern w:val="0"/>
          <w:szCs w:val="21"/>
        </w:rPr>
        <w:t>2021年9月30日</w:t>
      </w:r>
    </w:p>
    <w:bookmarkEnd w:id="2"/>
    <w:p>
      <w:pPr>
        <w:widowControl/>
        <w:spacing w:before="60" w:after="60"/>
        <w:ind w:left="62" w:right="62" w:firstLine="420" w:firstLineChars="200"/>
        <w:jc w:val="center"/>
        <w:rPr>
          <w:rFonts w:ascii="宋体" w:hAnsi="宋体" w:eastAsia="宋体" w:cs="宋体"/>
          <w:sz w:val="36"/>
          <w:szCs w:val="36"/>
        </w:rPr>
      </w:pPr>
      <w:r>
        <w:rPr>
          <w:rFonts w:hint="eastAsia" w:ascii="宋体" w:hAnsi="宋体" w:eastAsia="宋体" w:cs="宋体"/>
          <w:bCs/>
          <w:kern w:val="0"/>
          <w:szCs w:val="21"/>
        </w:rPr>
        <w:br w:type="page"/>
      </w:r>
      <w:bookmarkStart w:id="12" w:name="_Toc218041725"/>
      <w:bookmarkStart w:id="13" w:name="_Toc227056845"/>
      <w:bookmarkStart w:id="14" w:name="_Toc219538612"/>
      <w:bookmarkStart w:id="15" w:name="_Toc216667819"/>
      <w:bookmarkStart w:id="16" w:name="_Toc215415529"/>
      <w:bookmarkStart w:id="17" w:name="_Toc227489886"/>
      <w:bookmarkStart w:id="18" w:name="_Toc223933220"/>
      <w:bookmarkStart w:id="19" w:name="_Toc217460684"/>
      <w:bookmarkStart w:id="20" w:name="_Toc223717603"/>
      <w:bookmarkStart w:id="21" w:name="_Toc491780523"/>
      <w:bookmarkStart w:id="22" w:name="_Toc227057032"/>
      <w:r>
        <w:rPr>
          <w:rFonts w:hint="eastAsia" w:ascii="宋体" w:hAnsi="宋体" w:eastAsia="宋体" w:cs="宋体"/>
          <w:sz w:val="36"/>
          <w:szCs w:val="36"/>
        </w:rPr>
        <w:t>第一部分 投标人须知</w:t>
      </w:r>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sz w:val="36"/>
          <w:szCs w:val="36"/>
        </w:rPr>
        <w:t>及投标人须知前附表</w:t>
      </w:r>
    </w:p>
    <w:p>
      <w:pPr>
        <w:spacing w:before="156" w:beforeLines="50" w:after="156" w:afterLines="50"/>
        <w:jc w:val="center"/>
        <w:rPr>
          <w:rFonts w:ascii="宋体" w:hAnsi="宋体" w:eastAsia="宋体" w:cs="宋体"/>
          <w:b/>
          <w:sz w:val="28"/>
          <w:szCs w:val="28"/>
        </w:rPr>
      </w:pPr>
      <w:bookmarkStart w:id="23" w:name="_Toc401243876"/>
      <w:bookmarkStart w:id="24" w:name="_Toc433729304"/>
      <w:bookmarkStart w:id="25" w:name="_Toc227057033"/>
      <w:bookmarkStart w:id="26" w:name="_Toc219538613"/>
      <w:bookmarkStart w:id="27" w:name="_Toc227489887"/>
      <w:bookmarkStart w:id="28" w:name="_Toc223933221"/>
      <w:bookmarkStart w:id="29" w:name="_Toc215415530"/>
      <w:bookmarkStart w:id="30" w:name="_Toc218041726"/>
      <w:bookmarkStart w:id="31" w:name="_Toc216667820"/>
      <w:bookmarkStart w:id="32" w:name="_Toc217460685"/>
      <w:bookmarkStart w:id="33" w:name="_Toc223717604"/>
      <w:bookmarkStart w:id="34" w:name="_Toc227056846"/>
      <w:r>
        <w:rPr>
          <w:rFonts w:hint="eastAsia" w:ascii="宋体" w:hAnsi="宋体" w:eastAsia="宋体" w:cs="宋体"/>
          <w:b/>
          <w:sz w:val="28"/>
          <w:szCs w:val="28"/>
        </w:rPr>
        <w:t>投标人须知前附表</w:t>
      </w:r>
      <w:bookmarkEnd w:id="23"/>
      <w:bookmarkEnd w:id="24"/>
    </w:p>
    <w:tbl>
      <w:tblPr>
        <w:tblStyle w:val="22"/>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数字化平台项目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WGQCJF20210023</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采购人名称：温州市交通发展集团有限公司</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地  址：温州市鹿城区车站大道669号尚品商务楼10楼</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联系人：王先生，联系电话：0577-88085510</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代理机构名称：浙江国际招（投）标公司</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代理机构地址：温州市黎明路机械大厦804室</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联系人：易先生</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联系电话：15305718087，邮箱：517411407@qq.com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数字化平台项目，具体内容详见采购文件第四部分。</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采购预算、最高限价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kern w:val="0"/>
                <w:sz w:val="18"/>
                <w:szCs w:val="18"/>
              </w:rPr>
            </w:pPr>
            <w:r>
              <w:rPr>
                <w:rFonts w:hint="eastAsia" w:ascii="宋体" w:hAnsi="宋体" w:eastAsia="宋体" w:cs="宋体"/>
                <w:b/>
                <w:kern w:val="0"/>
                <w:sz w:val="18"/>
                <w:szCs w:val="18"/>
                <w:u w:val="single"/>
              </w:rPr>
              <w:t>▲本项目采购预算为人民币450万元，最高限价为人民币438万元，投标供应商的投标报价超出最高限价（大于438万元）的作无效标处理</w:t>
            </w:r>
            <w:r>
              <w:rPr>
                <w:rFonts w:hint="eastAsia" w:ascii="宋体" w:hAnsi="宋体" w:eastAsia="宋体" w:cs="宋体"/>
                <w:b/>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完成期限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sz w:val="18"/>
                <w:szCs w:val="18"/>
              </w:rPr>
              <w:t>合同签订后十个月内完成项目开发并具备试运行条件，具体采购内容及详细技术要求见</w:t>
            </w:r>
            <w:r>
              <w:rPr>
                <w:rFonts w:hint="eastAsia" w:ascii="宋体" w:hAnsi="宋体" w:eastAsia="宋体" w:cs="宋体"/>
                <w:kern w:val="0"/>
                <w:sz w:val="18"/>
                <w:szCs w:val="18"/>
              </w:rPr>
              <w:t>详见第四部分 采购内容及要求中的规定。</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bCs/>
                <w:kern w:val="0"/>
                <w:sz w:val="18"/>
                <w:szCs w:val="18"/>
              </w:rPr>
            </w:pPr>
            <w:r>
              <w:rPr>
                <w:rFonts w:hint="eastAsia" w:ascii="宋体" w:hAnsi="宋体" w:eastAsia="宋体" w:cs="宋体"/>
                <w:b/>
                <w:bCs/>
                <w:kern w:val="0"/>
                <w:sz w:val="18"/>
                <w:szCs w:val="18"/>
              </w:rPr>
              <w:t>见采购公告中的要求</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依据相关文件规定，金融、保险、通讯等特定行业的全国性企业所设立的区域性分支机构，如果已经依法办理了工商、税务和社保登记手续，并且获得总公司（总机构）授权或能够提供房产权证或其他有效财产证明材料（在投标文件中提供相关材料），证明其具备实际承担责任的能力和法定的缔结合同能力，可以允许其独立参加本次采购活动，并由其单位负责人签署相关文件材料。</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不召开</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答疑截止时间：</w:t>
            </w:r>
            <w:r>
              <w:rPr>
                <w:rFonts w:hint="eastAsia" w:ascii="宋体" w:hAnsi="宋体" w:eastAsia="宋体" w:cs="宋体"/>
                <w:color w:val="0000FF"/>
                <w:kern w:val="0"/>
                <w:sz w:val="18"/>
                <w:szCs w:val="18"/>
              </w:rPr>
              <w:t>2021年10月9日下午17时00分前</w:t>
            </w:r>
            <w:r>
              <w:rPr>
                <w:rFonts w:hint="eastAsia" w:ascii="宋体" w:hAnsi="宋体" w:eastAsia="宋体" w:cs="宋体"/>
                <w:kern w:val="0"/>
                <w:sz w:val="18"/>
                <w:szCs w:val="18"/>
              </w:rPr>
              <w:t>（以公告为准）</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澄清文件提交：</w:t>
            </w:r>
            <w:r>
              <w:fldChar w:fldCharType="begin"/>
            </w:r>
            <w:r>
              <w:instrText xml:space="preserve"> HYPERLINK "mailto:质疑文件加盖公章后以照片或扫描件发送至邮箱517411407@qq.com" </w:instrText>
            </w:r>
            <w:r>
              <w:fldChar w:fldCharType="separate"/>
            </w:r>
            <w:r>
              <w:rPr>
                <w:rStyle w:val="27"/>
                <w:rFonts w:hint="eastAsia" w:ascii="宋体" w:hAnsi="宋体" w:eastAsia="宋体" w:cs="宋体"/>
                <w:color w:val="auto"/>
                <w:kern w:val="0"/>
                <w:sz w:val="18"/>
                <w:szCs w:val="18"/>
              </w:rPr>
              <w:t>澄清文件加盖公章后以扫描件发送至邮箱517411407@qq.com</w:t>
            </w:r>
            <w:r>
              <w:rPr>
                <w:rStyle w:val="27"/>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ascii="宋体" w:hAnsi="宋体" w:eastAsia="宋体" w:cs="宋体"/>
                <w:sz w:val="18"/>
                <w:szCs w:val="18"/>
              </w:rPr>
            </w:pPr>
            <w:r>
              <w:rPr>
                <w:rFonts w:hint="eastAsia" w:ascii="宋体" w:hAnsi="宋体" w:eastAsia="宋体" w:cs="宋体"/>
                <w:kern w:val="0"/>
                <w:sz w:val="18"/>
                <w:szCs w:val="18"/>
              </w:rPr>
              <w:t>不允许</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kern w:val="0"/>
                <w:sz w:val="18"/>
                <w:szCs w:val="18"/>
              </w:rPr>
            </w:pPr>
            <w:r>
              <w:rPr>
                <w:rFonts w:hint="eastAsia" w:ascii="宋体" w:hAnsi="宋体" w:eastAsia="宋体" w:cs="宋体"/>
                <w:kern w:val="0"/>
                <w:sz w:val="18"/>
                <w:szCs w:val="18"/>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sz w:val="18"/>
                <w:szCs w:val="18"/>
              </w:rPr>
            </w:pPr>
            <w:r>
              <w:rPr>
                <w:rFonts w:hint="eastAsia" w:ascii="宋体" w:hAnsi="宋体" w:eastAsia="宋体" w:cs="宋体"/>
                <w:b/>
                <w:sz w:val="18"/>
                <w:szCs w:val="18"/>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提供技术资信标一式柒份，正本壹份，副本陆份；</w:t>
            </w:r>
          </w:p>
          <w:p>
            <w:pPr>
              <w:spacing w:line="240" w:lineRule="exact"/>
              <w:rPr>
                <w:rFonts w:ascii="宋体" w:hAnsi="宋体" w:eastAsia="宋体" w:cs="宋体"/>
                <w:b/>
                <w:sz w:val="18"/>
                <w:szCs w:val="18"/>
              </w:rPr>
            </w:pPr>
            <w:r>
              <w:rPr>
                <w:rFonts w:hint="eastAsia" w:ascii="宋体" w:hAnsi="宋体" w:eastAsia="宋体" w:cs="宋体"/>
                <w:sz w:val="18"/>
                <w:szCs w:val="18"/>
              </w:rPr>
              <w:t>提供商务（报价）标一式柒份，正本壹份，副本陆份；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投标文件递交截止时间：</w:t>
            </w:r>
            <w:r>
              <w:rPr>
                <w:rFonts w:hint="eastAsia" w:ascii="宋体" w:hAnsi="宋体" w:eastAsia="宋体" w:cs="宋体"/>
                <w:b/>
                <w:bCs/>
                <w:color w:val="0000FF"/>
                <w:kern w:val="0"/>
                <w:sz w:val="18"/>
                <w:szCs w:val="18"/>
              </w:rPr>
              <w:t>2021年10月21日9时30分</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递交地点：</w:t>
            </w:r>
            <w:r>
              <w:rPr>
                <w:rFonts w:hint="eastAsia" w:ascii="宋体" w:hAnsi="宋体" w:eastAsia="宋体" w:cs="宋体"/>
                <w:bCs/>
                <w:kern w:val="0"/>
                <w:sz w:val="18"/>
                <w:szCs w:val="18"/>
              </w:rPr>
              <w:t>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开标地点：</w:t>
            </w:r>
            <w:r>
              <w:rPr>
                <w:rFonts w:hint="eastAsia" w:ascii="宋体" w:hAnsi="宋体" w:eastAsia="宋体" w:cs="宋体"/>
                <w:bCs/>
                <w:kern w:val="0"/>
                <w:sz w:val="18"/>
                <w:szCs w:val="18"/>
              </w:rPr>
              <w:t>温州市政务服务管理中心开标区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1.宣布开标纪律；</w:t>
            </w:r>
          </w:p>
          <w:p>
            <w:pPr>
              <w:spacing w:line="240" w:lineRule="exact"/>
              <w:rPr>
                <w:rFonts w:ascii="宋体" w:hAnsi="宋体" w:eastAsia="宋体" w:cs="宋体"/>
                <w:sz w:val="18"/>
                <w:szCs w:val="18"/>
              </w:rPr>
            </w:pPr>
            <w:r>
              <w:rPr>
                <w:rFonts w:hint="eastAsia" w:ascii="宋体" w:hAnsi="宋体" w:eastAsia="宋体" w:cs="宋体"/>
                <w:sz w:val="18"/>
                <w:szCs w:val="18"/>
              </w:rPr>
              <w:t>2.公布在投标截止时间前递交投标文件的投标供应商名称，并点名确认投标供应商是否派授权代表到场；</w:t>
            </w:r>
          </w:p>
          <w:p>
            <w:pPr>
              <w:spacing w:line="240" w:lineRule="exact"/>
              <w:rPr>
                <w:rFonts w:ascii="宋体" w:hAnsi="宋体" w:eastAsia="宋体" w:cs="宋体"/>
                <w:sz w:val="18"/>
                <w:szCs w:val="18"/>
              </w:rPr>
            </w:pPr>
            <w:r>
              <w:rPr>
                <w:rFonts w:hint="eastAsia" w:ascii="宋体" w:hAnsi="宋体" w:eastAsia="宋体" w:cs="宋体"/>
                <w:sz w:val="18"/>
                <w:szCs w:val="18"/>
              </w:rPr>
              <w:t>3.宣布唱标人、记录人、监督人员等有关人员姓名；</w:t>
            </w:r>
          </w:p>
          <w:p>
            <w:pPr>
              <w:spacing w:line="240" w:lineRule="exact"/>
              <w:rPr>
                <w:rFonts w:ascii="宋体" w:hAnsi="宋体" w:eastAsia="宋体" w:cs="宋体"/>
                <w:sz w:val="18"/>
                <w:szCs w:val="18"/>
              </w:rPr>
            </w:pPr>
            <w:r>
              <w:rPr>
                <w:rFonts w:hint="eastAsia" w:ascii="宋体" w:hAnsi="宋体" w:eastAsia="宋体" w:cs="宋体"/>
                <w:sz w:val="18"/>
                <w:szCs w:val="18"/>
              </w:rPr>
              <w:t>4.密封情况检查：由投标供应商或其推选的代表检查投标文件密封情况；</w:t>
            </w:r>
          </w:p>
          <w:p>
            <w:pPr>
              <w:spacing w:line="240" w:lineRule="exact"/>
              <w:rPr>
                <w:rFonts w:ascii="宋体" w:hAnsi="宋体" w:eastAsia="宋体" w:cs="宋体"/>
                <w:sz w:val="18"/>
                <w:szCs w:val="18"/>
              </w:rPr>
            </w:pPr>
            <w:r>
              <w:rPr>
                <w:rFonts w:hint="eastAsia" w:ascii="宋体" w:hAnsi="宋体" w:eastAsia="宋体" w:cs="宋体"/>
                <w:sz w:val="18"/>
                <w:szCs w:val="18"/>
              </w:rPr>
              <w:t>5.开标顺序：分别开启技术资信部分投标文件、开启商务（报价）文件；</w:t>
            </w:r>
            <w:r>
              <w:rPr>
                <w:rFonts w:hint="eastAsia" w:ascii="宋体" w:hAnsi="宋体" w:eastAsia="宋体" w:cs="宋体"/>
                <w:bCs/>
                <w:sz w:val="18"/>
                <w:szCs w:val="18"/>
              </w:rPr>
              <w:t>宣读“开标一览表”中包括投标报价等内容。</w:t>
            </w:r>
          </w:p>
          <w:p>
            <w:pPr>
              <w:spacing w:line="240" w:lineRule="exact"/>
              <w:rPr>
                <w:rFonts w:ascii="宋体" w:hAnsi="宋体" w:eastAsia="宋体" w:cs="宋体"/>
                <w:sz w:val="18"/>
                <w:szCs w:val="18"/>
              </w:rPr>
            </w:pPr>
            <w:r>
              <w:rPr>
                <w:rFonts w:hint="eastAsia" w:ascii="宋体" w:hAnsi="宋体" w:eastAsia="宋体" w:cs="宋体"/>
                <w:sz w:val="18"/>
                <w:szCs w:val="18"/>
              </w:rPr>
              <w:t>6.确认开标结果：投标供应商授权代表对开标记录进行当场校核及勘误，并签字确认；并同时由记录人、核对人当场签字确认。</w:t>
            </w:r>
          </w:p>
          <w:p>
            <w:pPr>
              <w:spacing w:line="240" w:lineRule="exact"/>
              <w:rPr>
                <w:rFonts w:ascii="宋体" w:hAnsi="宋体" w:eastAsia="宋体" w:cs="宋体"/>
                <w:sz w:val="18"/>
                <w:szCs w:val="18"/>
              </w:rPr>
            </w:pPr>
            <w:r>
              <w:rPr>
                <w:rFonts w:hint="eastAsia" w:ascii="宋体" w:hAnsi="宋体" w:eastAsia="宋体" w:cs="宋体"/>
                <w:sz w:val="18"/>
                <w:szCs w:val="18"/>
              </w:rPr>
              <w:t>7.宣布开标结束。</w:t>
            </w:r>
          </w:p>
          <w:p>
            <w:pPr>
              <w:spacing w:line="240" w:lineRule="exact"/>
              <w:rPr>
                <w:rFonts w:ascii="宋体" w:hAnsi="宋体" w:eastAsia="宋体" w:cs="宋体"/>
                <w:kern w:val="0"/>
                <w:sz w:val="18"/>
                <w:szCs w:val="18"/>
              </w:rPr>
            </w:pPr>
            <w:r>
              <w:rPr>
                <w:rFonts w:hint="eastAsia" w:ascii="宋体" w:hAnsi="宋体" w:eastAsia="宋体" w:cs="宋体"/>
                <w:sz w:val="18"/>
                <w:szCs w:val="18"/>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评标委员会</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Cs/>
                <w:kern w:val="0"/>
                <w:sz w:val="18"/>
                <w:szCs w:val="18"/>
              </w:rPr>
            </w:pPr>
            <w:r>
              <w:rPr>
                <w:rFonts w:hint="eastAsia" w:ascii="宋体" w:hAnsi="宋体" w:eastAsia="宋体" w:cs="宋体"/>
                <w:kern w:val="0"/>
                <w:sz w:val="18"/>
                <w:szCs w:val="18"/>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履约担保的形式：履约保证金（转账形式）</w:t>
            </w:r>
          </w:p>
          <w:p>
            <w:pPr>
              <w:spacing w:line="240" w:lineRule="exact"/>
              <w:rPr>
                <w:rFonts w:ascii="宋体" w:hAnsi="宋体" w:eastAsia="宋体" w:cs="宋体"/>
                <w:sz w:val="18"/>
                <w:szCs w:val="18"/>
              </w:rPr>
            </w:pPr>
            <w:r>
              <w:rPr>
                <w:rFonts w:hint="eastAsia" w:ascii="宋体" w:hAnsi="宋体" w:eastAsia="宋体" w:cs="宋体"/>
                <w:sz w:val="18"/>
                <w:szCs w:val="18"/>
              </w:rPr>
              <w:t>履约担保的金额：合同价的</w:t>
            </w:r>
            <w:r>
              <w:rPr>
                <w:rFonts w:hint="eastAsia" w:ascii="宋体" w:hAnsi="宋体" w:eastAsia="宋体" w:cs="宋体"/>
                <w:sz w:val="18"/>
                <w:szCs w:val="18"/>
                <w:lang w:val="en-US" w:eastAsia="zh-CN"/>
              </w:rPr>
              <w:t>10</w:t>
            </w:r>
            <w:r>
              <w:rPr>
                <w:rFonts w:hint="eastAsia" w:ascii="宋体" w:hAnsi="宋体" w:eastAsia="宋体" w:cs="宋体"/>
                <w:sz w:val="18"/>
                <w:szCs w:val="18"/>
              </w:rPr>
              <w:t>%</w:t>
            </w:r>
          </w:p>
          <w:p>
            <w:pPr>
              <w:spacing w:line="240" w:lineRule="exact"/>
              <w:rPr>
                <w:rFonts w:ascii="宋体" w:hAnsi="宋体" w:eastAsia="宋体" w:cs="宋体"/>
                <w:bCs/>
                <w:kern w:val="0"/>
                <w:sz w:val="18"/>
                <w:szCs w:val="18"/>
              </w:rPr>
            </w:pPr>
            <w:r>
              <w:rPr>
                <w:rFonts w:hint="eastAsia" w:ascii="宋体" w:hAnsi="宋体" w:eastAsia="宋体" w:cs="宋体"/>
                <w:sz w:val="18"/>
                <w:szCs w:val="18"/>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sz w:val="18"/>
                <w:szCs w:val="18"/>
              </w:rPr>
            </w:pPr>
            <w:r>
              <w:rPr>
                <w:rFonts w:hint="eastAsia" w:ascii="宋体" w:hAnsi="宋体" w:eastAsia="宋体" w:cs="宋体"/>
                <w:kern w:val="0"/>
                <w:sz w:val="18"/>
                <w:szCs w:val="18"/>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pPr>
              <w:spacing w:line="240" w:lineRule="exact"/>
              <w:rPr>
                <w:rFonts w:ascii="宋体" w:hAnsi="宋体" w:eastAsia="宋体" w:cs="宋体"/>
                <w:b/>
                <w:sz w:val="18"/>
                <w:szCs w:val="18"/>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1、采购文件、采购公告中如有前后不一致的，一律以本“投标供应商须知前附表”为准；</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3、本采购文件涉及的货币为“人民币”；</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4、采购监督管理部门：温州市交通发展集团有限公司纪检监察室</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 系 人：曾女士</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联系电话：0577-85559092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b/>
                <w:bCs/>
                <w:kern w:val="0"/>
                <w:sz w:val="18"/>
                <w:szCs w:val="18"/>
                <w:u w:val="single"/>
              </w:rPr>
              <w:t>如发现采购文件中存在含糊不清的，请在规定的答疑截止时间前向采购人、采购代理书面提出，逾期不得再对采购文件的条款提出疑问。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pPr>
        <w:rPr>
          <w:rFonts w:ascii="宋体" w:hAnsi="宋体" w:eastAsia="宋体" w:cs="宋体"/>
          <w:szCs w:val="24"/>
        </w:rPr>
      </w:pPr>
    </w:p>
    <w:p>
      <w:pPr>
        <w:spacing w:before="156" w:beforeLines="50" w:after="156" w:afterLines="50"/>
        <w:jc w:val="center"/>
        <w:rPr>
          <w:rFonts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一、 说明</w:t>
      </w:r>
      <w:bookmarkEnd w:id="25"/>
      <w:bookmarkEnd w:id="26"/>
      <w:bookmarkEnd w:id="27"/>
      <w:bookmarkEnd w:id="28"/>
      <w:bookmarkEnd w:id="29"/>
      <w:bookmarkEnd w:id="30"/>
      <w:bookmarkEnd w:id="31"/>
      <w:bookmarkEnd w:id="32"/>
      <w:bookmarkEnd w:id="33"/>
      <w:bookmarkEnd w:id="34"/>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本次采购工作是按照《温州市市属国有企业采购管理办法（试行）》等有关法律、法规组织和实施的。</w:t>
      </w:r>
    </w:p>
    <w:p>
      <w:pPr>
        <w:numPr>
          <w:ilvl w:val="0"/>
          <w:numId w:val="3"/>
        </w:numPr>
        <w:tabs>
          <w:tab w:val="left" w:pos="540"/>
          <w:tab w:val="left" w:pos="900"/>
        </w:tabs>
        <w:ind w:left="525" w:hanging="525"/>
        <w:rPr>
          <w:rFonts w:ascii="宋体" w:hAnsi="宋体" w:eastAsia="宋体" w:cs="宋体"/>
          <w:sz w:val="22"/>
        </w:rPr>
      </w:pPr>
      <w:r>
        <w:rPr>
          <w:rFonts w:hint="eastAsia" w:ascii="宋体" w:hAnsi="宋体" w:eastAsia="宋体" w:cs="宋体"/>
          <w:sz w:val="22"/>
        </w:rPr>
        <w:t>采购人和采购代理机构：见投标人须知前附表。</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投标人代表</w:t>
      </w:r>
    </w:p>
    <w:p>
      <w:pPr>
        <w:ind w:left="538" w:leftChars="256"/>
        <w:rPr>
          <w:rFonts w:ascii="宋体" w:hAnsi="宋体" w:eastAsia="宋体" w:cs="宋体"/>
          <w:sz w:val="22"/>
        </w:rPr>
      </w:pPr>
      <w:r>
        <w:rPr>
          <w:rFonts w:hint="eastAsia" w:ascii="宋体" w:hAnsi="宋体" w:eastAsia="宋体" w:cs="宋体"/>
          <w:sz w:val="22"/>
        </w:rPr>
        <w:t>指全权代表投标人参加投标活动并签署投标文件的人。如果投标人代表不是法定代表人（法定负责人），须持有《法定代表人（法定负责人）授权书》。</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现场勘察及投标费用</w:t>
      </w:r>
    </w:p>
    <w:p>
      <w:pPr>
        <w:ind w:left="550" w:hanging="550" w:hangingChars="250"/>
        <w:rPr>
          <w:rFonts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pPr>
        <w:ind w:left="550" w:hanging="550" w:hangingChars="250"/>
        <w:rPr>
          <w:rFonts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pPr>
        <w:ind w:left="550" w:hanging="550" w:hangingChars="250"/>
        <w:rPr>
          <w:rFonts w:ascii="宋体" w:hAnsi="宋体" w:eastAsia="宋体" w:cs="宋体"/>
          <w:sz w:val="22"/>
        </w:rPr>
      </w:pPr>
      <w:r>
        <w:rPr>
          <w:rFonts w:hint="eastAsia" w:ascii="宋体" w:hAnsi="宋体" w:eastAsia="宋体" w:cs="宋体"/>
          <w:sz w:val="22"/>
        </w:rPr>
        <w:t>5.3  在现场察勘中所发生的人员伤亡和财产损失应由投标人自行负责。</w:t>
      </w:r>
    </w:p>
    <w:p>
      <w:pPr>
        <w:ind w:left="550" w:hanging="550" w:hangingChars="250"/>
        <w:rPr>
          <w:rFonts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pPr>
        <w:spacing w:before="156" w:beforeLines="50" w:after="156" w:afterLines="50"/>
        <w:jc w:val="center"/>
        <w:rPr>
          <w:rFonts w:ascii="宋体" w:hAnsi="宋体" w:eastAsia="宋体" w:cs="宋体"/>
          <w:b/>
          <w:sz w:val="28"/>
          <w:szCs w:val="28"/>
        </w:rPr>
      </w:pPr>
      <w:bookmarkStart w:id="35" w:name="_Toc223933222"/>
      <w:bookmarkStart w:id="36" w:name="_Toc205877453"/>
      <w:bookmarkStart w:id="37" w:name="_Toc209251128"/>
      <w:bookmarkStart w:id="38" w:name="_Toc207609182"/>
      <w:bookmarkStart w:id="39" w:name="_Toc205004969"/>
      <w:bookmarkStart w:id="40" w:name="_Toc209261433"/>
      <w:bookmarkStart w:id="41" w:name="_Toc219538614"/>
      <w:bookmarkStart w:id="42" w:name="_Toc205877558"/>
      <w:bookmarkStart w:id="43" w:name="_Toc209261366"/>
      <w:bookmarkStart w:id="44" w:name="_Toc227056847"/>
      <w:bookmarkStart w:id="45" w:name="_Toc216667821"/>
      <w:bookmarkStart w:id="46" w:name="_Toc215415531"/>
      <w:bookmarkStart w:id="47" w:name="_Toc204578576"/>
      <w:bookmarkStart w:id="48" w:name="_Toc217460686"/>
      <w:bookmarkStart w:id="49" w:name="_Toc214365791"/>
      <w:bookmarkStart w:id="50" w:name="_Toc209332634"/>
      <w:bookmarkStart w:id="51" w:name="_Toc205005287"/>
      <w:bookmarkStart w:id="52" w:name="_Toc223717605"/>
      <w:bookmarkStart w:id="53" w:name="_Toc205703103"/>
      <w:bookmarkStart w:id="54" w:name="_Toc227489888"/>
      <w:bookmarkStart w:id="55" w:name="_Toc218041727"/>
      <w:bookmarkStart w:id="56" w:name="_Toc204491318"/>
      <w:bookmarkStart w:id="57" w:name="_Toc209250720"/>
      <w:bookmarkStart w:id="58" w:name="_Toc210879709"/>
      <w:bookmarkStart w:id="59" w:name="_Toc227057034"/>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二、 采购文件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采购文件由采购文件目录所列内容及相关资料等组成。</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采购文件的澄清</w:t>
      </w:r>
    </w:p>
    <w:p>
      <w:pPr>
        <w:tabs>
          <w:tab w:val="left" w:pos="625"/>
          <w:tab w:val="left" w:pos="1080"/>
        </w:tabs>
        <w:ind w:left="524" w:hanging="523" w:hangingChars="238"/>
        <w:rPr>
          <w:rFonts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答疑截止时间之前，将书面材料（盖公章）递交或邮寄给采购人或采购代理机构，截止期后的疑问将不予受理、答复。如果采购文件答疑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采购文件的修改</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pPr>
        <w:tabs>
          <w:tab w:val="left" w:pos="1080"/>
        </w:tabs>
        <w:ind w:left="524" w:hanging="523" w:hangingChars="238"/>
        <w:rPr>
          <w:rFonts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8.5  在采购文件规定的答疑截止时间后，经采购人及采购机构同意购买采购文件的投标人不得对采购文件及其补充文件提出澄清答疑要求。</w:t>
      </w:r>
    </w:p>
    <w:p>
      <w:pPr>
        <w:spacing w:before="156" w:beforeLines="50" w:after="156" w:afterLines="50"/>
        <w:jc w:val="center"/>
        <w:rPr>
          <w:rFonts w:ascii="宋体" w:hAnsi="宋体" w:eastAsia="宋体" w:cs="宋体"/>
          <w:b/>
          <w:sz w:val="28"/>
          <w:szCs w:val="28"/>
        </w:rPr>
      </w:pPr>
      <w:bookmarkStart w:id="60" w:name="_Toc209332635"/>
      <w:bookmarkStart w:id="61" w:name="_Toc214365792"/>
      <w:bookmarkStart w:id="62" w:name="_Toc209261434"/>
      <w:bookmarkStart w:id="63" w:name="_Toc209250721"/>
      <w:bookmarkStart w:id="64" w:name="_Toc205004970"/>
      <w:bookmarkStart w:id="65" w:name="_Toc217460687"/>
      <w:bookmarkStart w:id="66" w:name="_Toc207609183"/>
      <w:bookmarkStart w:id="67" w:name="_Toc215415532"/>
      <w:bookmarkStart w:id="68" w:name="_Toc210879710"/>
      <w:bookmarkStart w:id="69" w:name="_Toc223717606"/>
      <w:bookmarkStart w:id="70" w:name="_Toc227489889"/>
      <w:bookmarkStart w:id="71" w:name="_Toc219538615"/>
      <w:bookmarkStart w:id="72" w:name="_Toc205877454"/>
      <w:bookmarkStart w:id="73" w:name="_Toc216667822"/>
      <w:bookmarkStart w:id="74" w:name="_Toc205703104"/>
      <w:bookmarkStart w:id="75" w:name="_Toc205877559"/>
      <w:bookmarkStart w:id="76" w:name="_Toc227057035"/>
      <w:bookmarkStart w:id="77" w:name="_Toc204491319"/>
      <w:bookmarkStart w:id="78" w:name="_Toc209251129"/>
      <w:bookmarkStart w:id="79" w:name="_Toc205005288"/>
      <w:bookmarkStart w:id="80" w:name="_Toc204578577"/>
      <w:bookmarkStart w:id="81" w:name="_Toc223933223"/>
      <w:bookmarkStart w:id="82" w:name="_Toc227056848"/>
      <w:bookmarkStart w:id="83" w:name="_Toc218041728"/>
      <w:bookmarkStart w:id="84" w:name="_Toc209261367"/>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三、 投标文件的编制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投标文件的构成：</w:t>
      </w:r>
    </w:p>
    <w:p>
      <w:pPr>
        <w:rPr>
          <w:rFonts w:ascii="宋体" w:hAnsi="宋体" w:eastAsia="宋体" w:cs="宋体"/>
          <w:sz w:val="22"/>
        </w:rPr>
      </w:pPr>
      <w:r>
        <w:rPr>
          <w:rFonts w:hint="eastAsia" w:ascii="宋体" w:hAnsi="宋体" w:eastAsia="宋体" w:cs="宋体"/>
          <w:sz w:val="22"/>
        </w:rPr>
        <w:t>11.1 投标文件由技术资信标、商务（报价）标二部分构成：</w:t>
      </w:r>
    </w:p>
    <w:p>
      <w:pPr>
        <w:ind w:left="187" w:leftChars="85" w:hanging="9" w:hangingChars="4"/>
        <w:rPr>
          <w:rFonts w:ascii="宋体" w:hAnsi="宋体" w:eastAsia="宋体" w:cs="宋体"/>
          <w:b/>
          <w:sz w:val="22"/>
        </w:rPr>
      </w:pPr>
      <w:r>
        <w:rPr>
          <w:rFonts w:hint="eastAsia" w:ascii="宋体" w:hAnsi="宋体" w:eastAsia="宋体" w:cs="宋体"/>
          <w:b/>
          <w:sz w:val="22"/>
        </w:rPr>
        <w:t>（1）技术资信标</w:t>
      </w:r>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pPr>
              <w:jc w:val="center"/>
              <w:rPr>
                <w:rFonts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pPr>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p>
        </w:tc>
        <w:tc>
          <w:tcPr>
            <w:tcW w:w="7303" w:type="dxa"/>
            <w:vAlign w:val="center"/>
          </w:tcPr>
          <w:p>
            <w:pPr>
              <w:rPr>
                <w:rFonts w:ascii="宋体" w:hAnsi="宋体" w:eastAsia="宋体" w:cs="宋体"/>
                <w:b/>
                <w:sz w:val="18"/>
                <w:szCs w:val="18"/>
              </w:rPr>
            </w:pPr>
            <w:r>
              <w:rPr>
                <w:rFonts w:hint="eastAsia" w:ascii="宋体" w:hAnsi="宋体" w:eastAsia="宋体" w:cs="宋体"/>
                <w:sz w:val="18"/>
                <w:szCs w:val="18"/>
              </w:rPr>
              <w:t>针对评分细则，编制目录索引，注明评标细则项目所在投标文件页码，格式自拟</w:t>
            </w:r>
          </w:p>
        </w:tc>
        <w:tc>
          <w:tcPr>
            <w:tcW w:w="924" w:type="dxa"/>
            <w:vAlign w:val="center"/>
          </w:tcPr>
          <w:p>
            <w:pPr>
              <w:jc w:val="center"/>
              <w:rPr>
                <w:rFonts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303" w:type="dxa"/>
            <w:vAlign w:val="center"/>
          </w:tcPr>
          <w:p>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如投标人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投标声明书</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7303" w:type="dxa"/>
            <w:vAlign w:val="center"/>
          </w:tcPr>
          <w:p>
            <w:pPr>
              <w:rPr>
                <w:rFonts w:ascii="宋体" w:hAnsi="宋体" w:eastAsia="宋体" w:cs="宋体"/>
                <w:sz w:val="18"/>
                <w:szCs w:val="18"/>
              </w:rPr>
            </w:pPr>
            <w:r>
              <w:rPr>
                <w:rFonts w:hint="eastAsia" w:ascii="宋体" w:hAnsi="宋体" w:eastAsia="宋体" w:cs="宋体"/>
                <w:b/>
                <w:sz w:val="18"/>
                <w:szCs w:val="18"/>
              </w:rPr>
              <w:t>资信证明文件（本项为评分量化内容，非强制性要求）</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4.1</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投标供应商具有的相关资质、资信、荣誉证书等（如有，复印件盖公章）</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免费维护期满后售后服务报价</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根据采购文件中的采购内容及要求以及技术资信评分项目，需要提供的文件和资料（格式自拟）</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投标供应商需要说明的其他文件和说明</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7303" w:type="dxa"/>
            <w:vAlign w:val="center"/>
          </w:tcPr>
          <w:p>
            <w:pPr>
              <w:numPr>
                <w:ilvl w:val="0"/>
                <w:numId w:val="4"/>
              </w:num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供应商投标时须随投标文件一起提供基于真实软件系统演示的视频录像，该视频录像要求用U盘储存，与技术资信标一起密封，并在投标截止时间前提交给代理公司；</w:t>
            </w:r>
          </w:p>
          <w:p>
            <w:pPr>
              <w:numPr>
                <w:ilvl w:val="0"/>
                <w:numId w:val="4"/>
              </w:num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视频播放演示内容须与投标方案保持一致，演示时间控制在25分钟内，演示顺序按投标文件递交的逆序进行，未提交演示视频的不作无效标处理，但演示评分得0分，仅PPT与图片演示不得分。</w:t>
            </w:r>
          </w:p>
        </w:tc>
        <w:tc>
          <w:tcPr>
            <w:tcW w:w="924" w:type="dxa"/>
            <w:vAlign w:val="center"/>
          </w:tcPr>
          <w:p>
            <w:pPr>
              <w:jc w:val="center"/>
              <w:rPr>
                <w:rFonts w:ascii="宋体" w:hAnsi="宋体" w:eastAsia="宋体" w:cs="宋体"/>
                <w:sz w:val="18"/>
                <w:szCs w:val="18"/>
              </w:rPr>
            </w:pPr>
          </w:p>
        </w:tc>
      </w:tr>
    </w:tbl>
    <w:p>
      <w:pPr>
        <w:ind w:left="187" w:leftChars="85" w:hanging="9" w:hangingChars="4"/>
        <w:rPr>
          <w:rFonts w:ascii="宋体" w:hAnsi="宋体" w:eastAsia="宋体" w:cs="宋体"/>
          <w:b/>
          <w:sz w:val="22"/>
        </w:rPr>
      </w:pPr>
      <w:r>
        <w:rPr>
          <w:rFonts w:hint="eastAsia" w:ascii="宋体" w:hAnsi="宋体" w:eastAsia="宋体" w:cs="宋体"/>
          <w:b/>
          <w:sz w:val="22"/>
        </w:rPr>
        <w:t>技术资信标说明：</w:t>
      </w:r>
    </w:p>
    <w:p>
      <w:pPr>
        <w:tabs>
          <w:tab w:val="left" w:pos="5355"/>
        </w:tabs>
        <w:ind w:left="360"/>
        <w:rPr>
          <w:rFonts w:ascii="宋体" w:hAnsi="宋体" w:eastAsia="宋体" w:cs="宋体"/>
          <w:sz w:val="22"/>
        </w:rPr>
      </w:pPr>
      <w:r>
        <w:rPr>
          <w:rFonts w:hint="eastAsia" w:ascii="宋体" w:hAnsi="宋体" w:eastAsia="宋体" w:cs="宋体"/>
          <w:sz w:val="22"/>
        </w:rPr>
        <w:t>1）投标供应商可根据采购文件中的技术规格书以及技术资信评分表，提供投标供应商认为需要提供的文件和资料。</w:t>
      </w:r>
    </w:p>
    <w:p>
      <w:pPr>
        <w:tabs>
          <w:tab w:val="left" w:pos="5355"/>
        </w:tabs>
        <w:ind w:left="360"/>
        <w:rPr>
          <w:rFonts w:ascii="宋体" w:hAnsi="宋体" w:eastAsia="宋体" w:cs="宋体"/>
          <w:sz w:val="22"/>
        </w:rPr>
      </w:pPr>
      <w:r>
        <w:rPr>
          <w:rFonts w:hint="eastAsia" w:ascii="宋体" w:hAnsi="宋体" w:eastAsia="宋体" w:cs="宋体"/>
          <w:sz w:val="22"/>
        </w:rPr>
        <w:t>2）投标文件中应承诺：投标文件中应承诺：投标供应商保证对其提供的产品、服务享有合法的权利；保证在其出售的产品、服务不存在任何未曾向采购人透露的担保物权，如抵押权、质押权、留置权等；保证其所出售的产品、服务没有侵犯任何第三人的知识产权和商业秘密等权利；如采购人使用该产品构成上述侵权的，其侵权责任与采购人及采购代理机构无关，由投标供应商承担全部责任。侵权造成的所有相关费用，均由投标供应商支付，保证不伤害采购人的利益。</w:t>
      </w:r>
    </w:p>
    <w:p>
      <w:pPr>
        <w:tabs>
          <w:tab w:val="left" w:pos="5355"/>
        </w:tabs>
        <w:ind w:left="360"/>
        <w:rPr>
          <w:rFonts w:ascii="宋体" w:hAnsi="宋体" w:eastAsia="宋体" w:cs="宋体"/>
          <w:sz w:val="22"/>
        </w:rPr>
      </w:pPr>
      <w:r>
        <w:rPr>
          <w:rFonts w:hint="eastAsia" w:ascii="宋体" w:hAnsi="宋体" w:eastAsia="宋体" w:cs="宋体"/>
          <w:sz w:val="22"/>
        </w:rPr>
        <w:t>3）以上所需的各种证书、证件、证明、执照若系复印件，须在复印件上加盖投标供应商有效的公章。</w:t>
      </w:r>
    </w:p>
    <w:p>
      <w:pPr>
        <w:tabs>
          <w:tab w:val="left" w:pos="5355"/>
        </w:tabs>
        <w:ind w:left="360"/>
        <w:rPr>
          <w:rFonts w:ascii="宋体" w:hAnsi="宋体" w:eastAsia="宋体" w:cs="宋体"/>
          <w:sz w:val="22"/>
        </w:rPr>
      </w:pPr>
      <w:r>
        <w:rPr>
          <w:rFonts w:hint="eastAsia" w:ascii="宋体" w:hAnsi="宋体" w:eastAsia="宋体" w:cs="宋体"/>
          <w:sz w:val="22"/>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ascii="宋体" w:hAnsi="宋体" w:eastAsia="宋体" w:cs="宋体"/>
          <w:b/>
          <w:sz w:val="22"/>
        </w:rPr>
      </w:pPr>
    </w:p>
    <w:p>
      <w:pPr>
        <w:rPr>
          <w:rFonts w:ascii="宋体" w:hAnsi="宋体" w:eastAsia="宋体" w:cs="宋体"/>
          <w:b/>
          <w:sz w:val="22"/>
        </w:rPr>
      </w:pPr>
      <w:r>
        <w:rPr>
          <w:rFonts w:hint="eastAsia" w:ascii="宋体" w:hAnsi="宋体" w:eastAsia="宋体" w:cs="宋体"/>
          <w:b/>
          <w:sz w:val="22"/>
        </w:rPr>
        <w:t>（2） 商务（报价）标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6323" w:type="dxa"/>
            <w:vAlign w:val="center"/>
          </w:tcPr>
          <w:p>
            <w:pPr>
              <w:jc w:val="center"/>
              <w:rPr>
                <w:rFonts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6323" w:type="dxa"/>
            <w:vAlign w:val="center"/>
          </w:tcPr>
          <w:p>
            <w:pPr>
              <w:rPr>
                <w:rFonts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pPr>
              <w:jc w:val="center"/>
              <w:rPr>
                <w:rFonts w:ascii="宋体" w:hAnsi="宋体" w:eastAsia="宋体" w:cs="宋体"/>
                <w:sz w:val="18"/>
                <w:szCs w:val="18"/>
              </w:rPr>
            </w:pPr>
            <w:r>
              <w:rPr>
                <w:rFonts w:hint="eastAsia" w:ascii="宋体" w:hAnsi="宋体" w:eastAsia="宋体" w:cs="宋体"/>
                <w:sz w:val="18"/>
                <w:szCs w:val="18"/>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6323" w:type="dxa"/>
            <w:vAlign w:val="center"/>
          </w:tcPr>
          <w:p>
            <w:pPr>
              <w:rPr>
                <w:rFonts w:ascii="宋体" w:hAnsi="宋体" w:eastAsia="宋体" w:cs="宋体"/>
                <w:sz w:val="18"/>
                <w:szCs w:val="18"/>
              </w:rPr>
            </w:pPr>
            <w:r>
              <w:rPr>
                <w:rFonts w:hint="eastAsia" w:ascii="宋体" w:hAnsi="宋体" w:eastAsia="宋体" w:cs="宋体"/>
                <w:sz w:val="18"/>
                <w:szCs w:val="18"/>
              </w:rPr>
              <w:t>投标分项报价表</w:t>
            </w:r>
          </w:p>
        </w:tc>
        <w:tc>
          <w:tcPr>
            <w:tcW w:w="1496" w:type="dxa"/>
            <w:vAlign w:val="center"/>
          </w:tcPr>
          <w:p>
            <w:pPr>
              <w:jc w:val="center"/>
              <w:rPr>
                <w:rFonts w:ascii="宋体" w:hAnsi="宋体" w:eastAsia="宋体" w:cs="宋体"/>
                <w:sz w:val="18"/>
                <w:szCs w:val="18"/>
              </w:rPr>
            </w:pPr>
            <w:r>
              <w:rPr>
                <w:rFonts w:hint="eastAsia" w:ascii="宋体" w:hAnsi="宋体" w:eastAsia="宋体" w:cs="宋体"/>
                <w:sz w:val="18"/>
                <w:szCs w:val="18"/>
              </w:rPr>
              <w:t>附件十二</w:t>
            </w:r>
          </w:p>
        </w:tc>
      </w:tr>
    </w:tbl>
    <w:p>
      <w:pPr>
        <w:rPr>
          <w:rFonts w:ascii="宋体" w:hAnsi="宋体" w:eastAsia="宋体" w:cs="宋体"/>
          <w:b/>
          <w:sz w:val="22"/>
        </w:rPr>
      </w:pPr>
    </w:p>
    <w:p>
      <w:pPr>
        <w:rPr>
          <w:rFonts w:ascii="宋体" w:hAnsi="宋体" w:eastAsia="宋体" w:cs="宋体"/>
          <w:b/>
          <w:sz w:val="22"/>
        </w:rPr>
      </w:pPr>
      <w:r>
        <w:rPr>
          <w:rFonts w:hint="eastAsia" w:ascii="宋体" w:hAnsi="宋体" w:eastAsia="宋体" w:cs="宋体"/>
          <w:b/>
          <w:sz w:val="22"/>
        </w:rPr>
        <w:t>11.2  投标文件格式</w:t>
      </w:r>
    </w:p>
    <w:p>
      <w:pPr>
        <w:numPr>
          <w:ilvl w:val="0"/>
          <w:numId w:val="5"/>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sz w:val="22"/>
          <w:u w:val="single"/>
        </w:rPr>
        <w:t>▲须按技术资信标、商务（报价）标分别装订成册，并分别密封包装于各自标函袋中（标函袋不做统一要求），否则其投标将被拒绝</w:t>
      </w:r>
      <w:r>
        <w:rPr>
          <w:rFonts w:hint="eastAsia" w:ascii="宋体" w:hAnsi="宋体" w:eastAsia="宋体" w:cs="宋体"/>
          <w:sz w:val="22"/>
        </w:rPr>
        <w:t>。</w:t>
      </w:r>
    </w:p>
    <w:p>
      <w:pPr>
        <w:numPr>
          <w:ilvl w:val="0"/>
          <w:numId w:val="5"/>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投标文件应有目录以及页码，以便评委检索。</w:t>
      </w:r>
    </w:p>
    <w:p>
      <w:pPr>
        <w:numPr>
          <w:ilvl w:val="0"/>
          <w:numId w:val="5"/>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投标文件尽可能简练有针对性，双面打印/复印后装订。</w:t>
      </w:r>
    </w:p>
    <w:p>
      <w:pPr>
        <w:rPr>
          <w:rFonts w:ascii="宋体" w:hAnsi="宋体" w:eastAsia="宋体" w:cs="宋体"/>
          <w:b/>
          <w:sz w:val="22"/>
        </w:rPr>
      </w:pPr>
      <w:r>
        <w:rPr>
          <w:rFonts w:hint="eastAsia" w:ascii="宋体" w:hAnsi="宋体" w:eastAsia="宋体" w:cs="宋体"/>
          <w:b/>
          <w:sz w:val="22"/>
        </w:rPr>
        <w:t>11.3   需递交的证照、证件和证明文件的原件明细如下：</w:t>
      </w:r>
    </w:p>
    <w:p>
      <w:pPr>
        <w:tabs>
          <w:tab w:val="left" w:pos="360"/>
          <w:tab w:val="left" w:pos="540"/>
        </w:tabs>
        <w:ind w:firstLine="442" w:firstLineChars="200"/>
        <w:rPr>
          <w:rFonts w:ascii="宋体" w:hAnsi="宋体" w:eastAsia="宋体" w:cs="宋体"/>
          <w:b/>
          <w:sz w:val="22"/>
        </w:rPr>
      </w:pPr>
      <w:r>
        <w:rPr>
          <w:rFonts w:hint="eastAsia" w:ascii="宋体" w:hAnsi="宋体" w:eastAsia="宋体" w:cs="宋体"/>
          <w:b/>
          <w:bCs/>
          <w:kern w:val="0"/>
          <w:sz w:val="22"/>
        </w:rPr>
        <w:t>1）与评分有关的业绩合同原件</w:t>
      </w:r>
      <w:r>
        <w:rPr>
          <w:rFonts w:hint="eastAsia" w:ascii="宋体" w:hAnsi="宋体" w:eastAsia="宋体" w:cs="宋体"/>
          <w:b/>
          <w:sz w:val="22"/>
        </w:rPr>
        <w:t>。</w:t>
      </w:r>
    </w:p>
    <w:p>
      <w:pPr>
        <w:tabs>
          <w:tab w:val="left" w:pos="360"/>
          <w:tab w:val="left" w:pos="540"/>
        </w:tabs>
        <w:ind w:firstLine="541" w:firstLineChars="245"/>
        <w:rPr>
          <w:rFonts w:ascii="宋体" w:hAnsi="宋体" w:eastAsia="宋体" w:cs="宋体"/>
          <w:b/>
          <w:sz w:val="22"/>
        </w:rPr>
      </w:pPr>
      <w:r>
        <w:rPr>
          <w:rFonts w:hint="eastAsia" w:ascii="宋体" w:hAnsi="宋体" w:eastAsia="宋体" w:cs="宋体"/>
          <w:b/>
          <w:sz w:val="22"/>
        </w:rPr>
        <w:t>备注：</w:t>
      </w:r>
    </w:p>
    <w:p>
      <w:pPr>
        <w:tabs>
          <w:tab w:val="left" w:pos="360"/>
          <w:tab w:val="left" w:pos="540"/>
        </w:tabs>
        <w:ind w:firstLine="541" w:firstLineChars="245"/>
        <w:rPr>
          <w:rFonts w:ascii="宋体" w:hAnsi="宋体" w:eastAsia="宋体" w:cs="宋体"/>
          <w:b/>
          <w:sz w:val="22"/>
        </w:rPr>
      </w:pPr>
      <w:r>
        <w:rPr>
          <w:rFonts w:hint="eastAsia" w:ascii="宋体" w:hAnsi="宋体" w:eastAsia="宋体" w:cs="宋体"/>
          <w:b/>
          <w:sz w:val="22"/>
        </w:rPr>
        <w:t>（1）要求提供的原件在投标文件技术资信标中需提供复印件，并加盖投标人公章。</w:t>
      </w:r>
    </w:p>
    <w:p>
      <w:pPr>
        <w:tabs>
          <w:tab w:val="left" w:pos="360"/>
          <w:tab w:val="left" w:pos="540"/>
        </w:tabs>
        <w:ind w:firstLine="541" w:firstLineChars="245"/>
        <w:rPr>
          <w:rFonts w:ascii="宋体" w:hAnsi="宋体" w:eastAsia="宋体" w:cs="宋体"/>
          <w:b/>
          <w:sz w:val="22"/>
        </w:rPr>
      </w:pPr>
      <w:r>
        <w:rPr>
          <w:rFonts w:hint="eastAsia" w:ascii="宋体" w:hAnsi="宋体" w:eastAsia="宋体" w:cs="宋体"/>
          <w:b/>
          <w:sz w:val="22"/>
        </w:rPr>
        <w:t>（2）证照、证件和证明文件原件按规定递送后，不能再对其进行补充或删减。</w:t>
      </w:r>
    </w:p>
    <w:p>
      <w:pPr>
        <w:tabs>
          <w:tab w:val="left" w:pos="360"/>
          <w:tab w:val="left" w:pos="540"/>
        </w:tabs>
        <w:ind w:firstLine="541" w:firstLineChars="245"/>
        <w:rPr>
          <w:rFonts w:ascii="宋体" w:hAnsi="宋体" w:eastAsia="宋体" w:cs="宋体"/>
          <w:b/>
          <w:sz w:val="22"/>
        </w:rPr>
      </w:pPr>
      <w:r>
        <w:rPr>
          <w:rFonts w:hint="eastAsia" w:ascii="宋体" w:hAnsi="宋体" w:eastAsia="宋体" w:cs="宋体"/>
          <w:b/>
          <w:sz w:val="22"/>
        </w:rPr>
        <w:t>（3）以上证照、证件和证明文件原件须装入密封袋中进行密封，外封面上按顺序编制目录列明材料清单、投标单位名称、采购项目名称等信息，并在投标截止时间前和投标文件一同密封递交，由评标委员会核实无误后再评分。</w:t>
      </w:r>
    </w:p>
    <w:p>
      <w:pPr>
        <w:tabs>
          <w:tab w:val="left" w:pos="525"/>
          <w:tab w:val="left" w:pos="900"/>
        </w:tabs>
        <w:ind w:firstLine="442" w:firstLineChars="200"/>
        <w:rPr>
          <w:rFonts w:ascii="宋体" w:hAnsi="宋体" w:eastAsia="宋体" w:cs="宋体"/>
        </w:rPr>
      </w:pPr>
      <w:r>
        <w:rPr>
          <w:rFonts w:hint="eastAsia" w:ascii="宋体" w:hAnsi="宋体" w:eastAsia="宋体" w:cs="宋体"/>
          <w:b/>
          <w:snapToGrid w:val="0"/>
          <w:sz w:val="22"/>
          <w:em w:val="dot"/>
        </w:rPr>
        <w:t>与评分有关的业绩合同原件如不按要求提交的，评标时相关评分项不得分，11.3条中规定的原件在评标结束后退还。</w:t>
      </w:r>
    </w:p>
    <w:p>
      <w:pPr>
        <w:numPr>
          <w:ilvl w:val="0"/>
          <w:numId w:val="3"/>
        </w:numPr>
        <w:tabs>
          <w:tab w:val="left" w:pos="525"/>
          <w:tab w:val="left" w:pos="900"/>
        </w:tabs>
        <w:ind w:left="525" w:hanging="525"/>
        <w:rPr>
          <w:rFonts w:ascii="宋体" w:hAnsi="宋体" w:eastAsia="宋体" w:cs="宋体"/>
          <w:b/>
          <w:sz w:val="22"/>
        </w:rPr>
      </w:pPr>
      <w:r>
        <w:rPr>
          <w:rFonts w:hint="eastAsia" w:ascii="宋体" w:hAnsi="宋体" w:eastAsia="宋体" w:cs="宋体"/>
          <w:b/>
          <w:sz w:val="22"/>
        </w:rPr>
        <w:t>投标报价</w:t>
      </w:r>
    </w:p>
    <w:p>
      <w:pPr>
        <w:ind w:left="526" w:hanging="526" w:hangingChars="238"/>
        <w:rPr>
          <w:rFonts w:ascii="宋体" w:hAnsi="宋体" w:eastAsia="宋体" w:cs="宋体"/>
          <w:b/>
          <w:bCs/>
          <w:sz w:val="22"/>
        </w:rPr>
      </w:pPr>
      <w:r>
        <w:rPr>
          <w:rFonts w:hint="eastAsia" w:ascii="宋体" w:hAnsi="宋体" w:eastAsia="宋体" w:cs="宋体"/>
          <w:b/>
          <w:bCs/>
          <w:sz w:val="22"/>
        </w:rPr>
        <w:t xml:space="preserve">12.1 </w:t>
      </w:r>
      <w:r>
        <w:rPr>
          <w:rFonts w:hint="eastAsia" w:ascii="宋体" w:hAnsi="宋体" w:eastAsia="宋体" w:cs="宋体"/>
          <w:b/>
          <w:sz w:val="22"/>
          <w:u w:val="single"/>
        </w:rPr>
        <w:t>▲</w:t>
      </w:r>
      <w:r>
        <w:rPr>
          <w:rFonts w:hint="eastAsia" w:ascii="宋体" w:hAnsi="宋体" w:eastAsia="宋体" w:cs="宋体"/>
          <w:b/>
          <w:bCs/>
          <w:sz w:val="22"/>
          <w:u w:val="single"/>
        </w:rPr>
        <w:t>投标报价为含税总价，是指供应商在正确地完全履行合同义务后采购人应支付给供应商的所有价款，包含前期进场调研、系统分析、设计和开发费用（（包括项目集成范围中所包含的原集团系统的数据接入、相关接口开发及集成等费用），系统整合费用、相关数据标准编制、系统及相关设备安装调试验收、试运行和实施服务费用，系统培训费用、免费维护期内云资源服务费、云安全服务费及免费维护期内的系统运行维护费用、售后服务费、信息安全等保评测费及相关费用、项目专家评审费用、所有技术服务人员的工勤费用（包括工资、福利、津贴、交通、食宿、通讯等费用）、利润、税金以及完成合同所需的一切本身和不可或缺的所有工作开支、政策性文件规定及合同包含的所有风险、责任等各项全部费用并承担一切风险责任，本项目为交钥匙项目，实行固定费用总包干，投标人应根据上述因素自行考虑含入投标报价</w:t>
      </w:r>
      <w:r>
        <w:rPr>
          <w:rFonts w:hint="eastAsia" w:ascii="宋体" w:hAnsi="宋体" w:eastAsia="宋体" w:cs="宋体"/>
          <w:b/>
          <w:bCs/>
          <w:sz w:val="22"/>
        </w:rPr>
        <w:t>。</w:t>
      </w:r>
    </w:p>
    <w:p>
      <w:pPr>
        <w:ind w:left="437" w:leftChars="208"/>
        <w:rPr>
          <w:rFonts w:ascii="宋体" w:hAnsi="宋体" w:eastAsia="宋体" w:cs="宋体"/>
          <w:b/>
          <w:bCs/>
          <w:sz w:val="22"/>
        </w:rPr>
      </w:pPr>
      <w:r>
        <w:rPr>
          <w:rFonts w:hint="eastAsia" w:ascii="宋体" w:hAnsi="宋体" w:eastAsia="宋体" w:cs="宋体"/>
          <w:b/>
          <w:bCs/>
          <w:sz w:val="22"/>
        </w:rPr>
        <w:t>投标总价须含本项目监理费用，采购人已先期委托数字化平台项目监理，具体费用为人民币4.88万元，该费用由本项目中标人根据合同相关规定支付，投标人在本次投标报价中应充分考虑本项目监理费用及所产生的相关税费。</w:t>
      </w:r>
    </w:p>
    <w:p>
      <w:pPr>
        <w:ind w:left="526" w:hanging="526" w:hangingChars="238"/>
        <w:rPr>
          <w:rFonts w:ascii="宋体" w:hAnsi="宋体" w:eastAsia="宋体" w:cs="宋体"/>
          <w:b/>
          <w:bCs/>
          <w:sz w:val="22"/>
          <w:lang w:val="zh-CN"/>
        </w:rPr>
      </w:pPr>
      <w:r>
        <w:rPr>
          <w:rFonts w:hint="eastAsia" w:ascii="宋体" w:hAnsi="宋体" w:eastAsia="宋体" w:cs="宋体"/>
          <w:b/>
          <w:bCs/>
          <w:sz w:val="22"/>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ascii="宋体" w:hAnsi="宋体" w:eastAsia="宋体" w:cs="宋体"/>
          <w:b/>
          <w:bCs/>
          <w:sz w:val="22"/>
        </w:rPr>
      </w:pPr>
      <w:r>
        <w:rPr>
          <w:rFonts w:hint="eastAsia" w:ascii="宋体" w:hAnsi="宋体" w:eastAsia="宋体" w:cs="宋体"/>
          <w:b/>
          <w:bCs/>
          <w:sz w:val="22"/>
        </w:rPr>
        <w:t>12.3 投标人必须按附件中的开标一览表、投标分项报价表（均统一格式）内容填写单价、合价和总价，并由法定代表人（法定负责人）或投标人代表签署。</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12.4 所有报价均以人民币报价，投标人如需外汇购入某些货物，须折合成人民币计入投标报价中。</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 xml:space="preserve">12.5 </w:t>
      </w:r>
      <w:r>
        <w:rPr>
          <w:rFonts w:hint="eastAsia" w:ascii="宋体" w:hAnsi="宋体" w:eastAsia="宋体" w:cs="宋体"/>
          <w:b/>
          <w:bCs/>
          <w:sz w:val="22"/>
        </w:rPr>
        <w:t>采购人不接受任何选择报价，对每一种货物/服务只允许一个报价。</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12.6招标采购单位要求分类报价是为了方便评标，但在任何情况下不限制采购人以其认为最合适的条款、条件签订合同的权利。</w:t>
      </w:r>
    </w:p>
    <w:p>
      <w:pPr>
        <w:tabs>
          <w:tab w:val="left" w:pos="-180"/>
          <w:tab w:val="left" w:pos="180"/>
          <w:tab w:val="left" w:pos="360"/>
        </w:tabs>
        <w:ind w:left="550" w:hanging="550" w:hangingChars="250"/>
        <w:rPr>
          <w:rFonts w:ascii="宋体" w:hAnsi="宋体" w:eastAsia="宋体" w:cs="宋体"/>
          <w:sz w:val="22"/>
          <w:u w:val="single"/>
        </w:rPr>
      </w:pPr>
      <w:r>
        <w:rPr>
          <w:rFonts w:hint="eastAsia" w:ascii="宋体" w:hAnsi="宋体" w:eastAsia="宋体" w:cs="宋体"/>
          <w:bCs/>
          <w:sz w:val="22"/>
          <w:u w:val="single"/>
        </w:rPr>
        <w:t>12.7▲</w:t>
      </w:r>
      <w:r>
        <w:rPr>
          <w:rFonts w:hint="eastAsia" w:ascii="宋体" w:hAnsi="宋体" w:eastAsia="宋体" w:cs="宋体"/>
          <w:b/>
          <w:sz w:val="22"/>
          <w:u w:val="single"/>
        </w:rPr>
        <w:t>投标报价报出后，投标人不得以任何理由予以变更。任何包含价格调整的要求，将被认</w:t>
      </w:r>
    </w:p>
    <w:p>
      <w:pPr>
        <w:tabs>
          <w:tab w:val="left" w:pos="-180"/>
          <w:tab w:val="left" w:pos="180"/>
          <w:tab w:val="left" w:pos="360"/>
        </w:tabs>
        <w:ind w:left="658" w:leftChars="261" w:hanging="110" w:hangingChars="50"/>
        <w:rPr>
          <w:rFonts w:ascii="宋体" w:hAnsi="宋体" w:eastAsia="宋体" w:cs="宋体"/>
          <w:sz w:val="22"/>
        </w:rPr>
      </w:pPr>
      <w:r>
        <w:rPr>
          <w:rFonts w:hint="eastAsia" w:ascii="宋体" w:hAnsi="宋体" w:eastAsia="宋体" w:cs="宋体"/>
          <w:b/>
          <w:sz w:val="22"/>
          <w:u w:val="single"/>
        </w:rPr>
        <w:t>为是非实质性响应投标而予以拒绝。</w:t>
      </w:r>
    </w:p>
    <w:p>
      <w:pPr>
        <w:tabs>
          <w:tab w:val="left" w:pos="1080"/>
        </w:tabs>
        <w:ind w:left="524" w:hanging="523" w:hangingChars="238"/>
        <w:rPr>
          <w:rFonts w:ascii="宋体" w:hAnsi="宋体" w:eastAsia="宋体" w:cs="宋体"/>
          <w:strike/>
          <w:sz w:val="22"/>
        </w:rPr>
      </w:pPr>
      <w:r>
        <w:rPr>
          <w:rFonts w:hint="eastAsia" w:ascii="宋体" w:hAnsi="宋体" w:eastAsia="宋体" w:cs="宋体"/>
          <w:sz w:val="22"/>
        </w:rPr>
        <w:t>12.8</w:t>
      </w:r>
      <w:r>
        <w:rPr>
          <w:rFonts w:hint="eastAsia" w:ascii="宋体" w:hAnsi="宋体" w:eastAsia="宋体" w:cs="宋体"/>
          <w:b/>
          <w:bCs/>
          <w:sz w:val="22"/>
        </w:rPr>
        <w:t>最低报价不作为中标的保证。</w:t>
      </w:r>
    </w:p>
    <w:p>
      <w:pPr>
        <w:numPr>
          <w:ilvl w:val="0"/>
          <w:numId w:val="3"/>
        </w:numPr>
        <w:tabs>
          <w:tab w:val="left" w:pos="525"/>
          <w:tab w:val="left" w:pos="900"/>
        </w:tabs>
        <w:ind w:left="525" w:hanging="525"/>
        <w:rPr>
          <w:rFonts w:ascii="宋体" w:hAnsi="宋体" w:eastAsia="宋体" w:cs="宋体"/>
          <w:b/>
          <w:sz w:val="22"/>
          <w:u w:val="single"/>
        </w:rPr>
      </w:pPr>
      <w:r>
        <w:rPr>
          <w:rFonts w:hint="eastAsia" w:ascii="宋体" w:hAnsi="宋体" w:eastAsia="宋体" w:cs="宋体"/>
          <w:b/>
          <w:sz w:val="22"/>
          <w:u w:val="single"/>
        </w:rPr>
        <w:t>▲投标保证金</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 xml:space="preserve">13.1 </w:t>
      </w:r>
      <w:r>
        <w:rPr>
          <w:rFonts w:hint="eastAsia" w:ascii="宋体" w:hAnsi="宋体" w:eastAsia="宋体" w:cs="宋体"/>
          <w:b/>
          <w:bCs/>
          <w:sz w:val="22"/>
          <w:u w:val="single"/>
        </w:rPr>
        <w:t>投标人须按投标人须知前附表规定交纳投标保证金，否则采购人将不接受其投标</w:t>
      </w:r>
      <w:r>
        <w:rPr>
          <w:rFonts w:hint="eastAsia" w:ascii="宋体" w:hAnsi="宋体" w:eastAsia="宋体" w:cs="宋体"/>
          <w:sz w:val="22"/>
        </w:rPr>
        <w:t>。</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13.2</w:t>
      </w:r>
      <w:r>
        <w:rPr>
          <w:rFonts w:hint="eastAsia" w:ascii="宋体" w:hAnsi="宋体" w:eastAsia="宋体" w:cs="宋体"/>
          <w:b/>
          <w:bCs/>
          <w:sz w:val="22"/>
          <w:u w:val="single"/>
        </w:rPr>
        <w:t>投标保证金金额及形式详见采购公告及投标须知前附表规定。</w:t>
      </w:r>
    </w:p>
    <w:p>
      <w:pPr>
        <w:tabs>
          <w:tab w:val="left" w:pos="851"/>
          <w:tab w:val="left" w:pos="1080"/>
        </w:tabs>
        <w:ind w:left="524" w:hanging="523" w:hangingChars="238"/>
        <w:rPr>
          <w:rFonts w:ascii="宋体" w:hAnsi="宋体" w:eastAsia="宋体" w:cs="宋体"/>
          <w:b/>
          <w:bCs/>
          <w:sz w:val="22"/>
        </w:rPr>
      </w:pPr>
      <w:r>
        <w:rPr>
          <w:rFonts w:hint="eastAsia" w:ascii="宋体" w:hAnsi="宋体" w:eastAsia="宋体" w:cs="宋体"/>
          <w:sz w:val="22"/>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rPr>
        <w:t>因此请投标人注意及时联系政采云询问有关投标保证金退还事宜，政采云服务热线400-881-7190 （服务时间：工作日8：00-20：00）。</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投标人在采购文件规定的投标有效期内撤回投标；</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中标人未按中标通知书中规定的时间与采购人签订合同；</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中标人在规定期限内未能根据采购文件要求提供履约担保；</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投标人在投标文件中提供虚假技术指标及参数，经评标委员会确认属实的；</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投标有效期</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14.2在投标人须知前附表规定的投标有效期内，投标人不得要求撤销或修改其投标文件。</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投标文件的签署和规定</w:t>
      </w:r>
    </w:p>
    <w:p>
      <w:pPr>
        <w:numPr>
          <w:ilvl w:val="1"/>
          <w:numId w:val="7"/>
        </w:numPr>
        <w:tabs>
          <w:tab w:val="left" w:pos="525"/>
        </w:tabs>
        <w:ind w:left="525" w:hanging="525"/>
        <w:rPr>
          <w:rFonts w:ascii="宋体" w:hAnsi="宋体" w:eastAsia="宋体" w:cs="宋体"/>
          <w:b/>
          <w:sz w:val="22"/>
        </w:rPr>
      </w:pPr>
      <w:r>
        <w:rPr>
          <w:rFonts w:hint="eastAsia" w:ascii="宋体" w:hAnsi="宋体" w:eastAsia="宋体" w:cs="宋体"/>
          <w:b/>
          <w:sz w:val="22"/>
        </w:rPr>
        <w:t>投标人应提供技术资信标、商务（报价）标各一式七份的投标文件，分别装订成册。其中正本一份、副本六份，每套投标文件的封面应清楚标明“正本”或“副本”字样，若“正本”与“副本”不符，以“正本”为准。</w:t>
      </w:r>
    </w:p>
    <w:p>
      <w:pPr>
        <w:numPr>
          <w:ilvl w:val="1"/>
          <w:numId w:val="7"/>
        </w:numPr>
        <w:tabs>
          <w:tab w:val="left" w:pos="525"/>
        </w:tabs>
        <w:ind w:left="525" w:hanging="525"/>
        <w:rPr>
          <w:rFonts w:ascii="宋体" w:hAnsi="宋体" w:eastAsia="宋体" w:cs="宋体"/>
          <w:sz w:val="22"/>
        </w:rPr>
      </w:pPr>
      <w:r>
        <w:rPr>
          <w:rFonts w:hint="eastAsia" w:ascii="宋体" w:hAnsi="宋体" w:eastAsia="宋体" w:cs="宋体"/>
          <w:sz w:val="22"/>
        </w:rPr>
        <w:t>投标文件的正本必须打印或用不褪色的墨水书写，并由法定代表人（法定负责人）或其授权代表签署，副本可用正本的复印件。</w:t>
      </w:r>
    </w:p>
    <w:p>
      <w:pPr>
        <w:numPr>
          <w:ilvl w:val="1"/>
          <w:numId w:val="7"/>
        </w:numPr>
        <w:tabs>
          <w:tab w:val="left" w:pos="525"/>
        </w:tabs>
        <w:ind w:left="525" w:hanging="525"/>
        <w:rPr>
          <w:rFonts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pPr>
        <w:numPr>
          <w:ilvl w:val="1"/>
          <w:numId w:val="7"/>
        </w:numPr>
        <w:tabs>
          <w:tab w:val="left" w:pos="525"/>
        </w:tabs>
        <w:ind w:left="525" w:hanging="525"/>
        <w:rPr>
          <w:rFonts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投标文件的密封及标记</w:t>
      </w:r>
    </w:p>
    <w:p>
      <w:pPr>
        <w:numPr>
          <w:ilvl w:val="1"/>
          <w:numId w:val="8"/>
        </w:numPr>
        <w:tabs>
          <w:tab w:val="left" w:pos="525"/>
        </w:tabs>
        <w:ind w:left="525" w:hanging="525"/>
        <w:rPr>
          <w:rFonts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封口处贴上封条，启封处加盖投标单位公章并由法定代表人（法定负责人）或其授权代表签字。</w:t>
      </w:r>
      <w:r>
        <w:rPr>
          <w:rFonts w:hint="eastAsia" w:ascii="宋体" w:hAnsi="宋体" w:eastAsia="宋体" w:cs="宋体"/>
          <w:b/>
          <w:sz w:val="22"/>
        </w:rPr>
        <w:t>封皮上写明投标项目名称、采购编号，并注明“开标时启封”字样。</w:t>
      </w:r>
    </w:p>
    <w:p>
      <w:pPr>
        <w:numPr>
          <w:ilvl w:val="1"/>
          <w:numId w:val="8"/>
        </w:numPr>
        <w:tabs>
          <w:tab w:val="left" w:pos="525"/>
        </w:tabs>
        <w:ind w:left="525" w:hanging="525"/>
        <w:rPr>
          <w:rFonts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pPr>
        <w:spacing w:before="156" w:beforeLines="50" w:after="156" w:afterLines="50"/>
        <w:jc w:val="center"/>
        <w:rPr>
          <w:rFonts w:ascii="宋体" w:hAnsi="宋体" w:eastAsia="宋体" w:cs="宋体"/>
          <w:b/>
          <w:sz w:val="28"/>
          <w:szCs w:val="28"/>
        </w:rPr>
      </w:pPr>
      <w:bookmarkStart w:id="85" w:name="_Toc204491320"/>
      <w:bookmarkStart w:id="86" w:name="_Toc227056849"/>
      <w:bookmarkStart w:id="87" w:name="_Toc223933224"/>
      <w:bookmarkStart w:id="88" w:name="_Toc218041729"/>
      <w:bookmarkStart w:id="89" w:name="_Toc219538616"/>
      <w:bookmarkStart w:id="90" w:name="_Toc205703105"/>
      <w:bookmarkStart w:id="91" w:name="_Toc227489890"/>
      <w:bookmarkStart w:id="92" w:name="_Toc205877455"/>
      <w:bookmarkStart w:id="93" w:name="_Toc223717607"/>
      <w:bookmarkStart w:id="94" w:name="_Toc215415533"/>
      <w:bookmarkStart w:id="95" w:name="_Toc217460688"/>
      <w:bookmarkStart w:id="96" w:name="_Toc204578578"/>
      <w:bookmarkStart w:id="97" w:name="_Toc227057036"/>
      <w:bookmarkStart w:id="98" w:name="_Toc210879711"/>
      <w:bookmarkStart w:id="99" w:name="_Toc209261368"/>
      <w:bookmarkStart w:id="100" w:name="_Toc205877560"/>
      <w:bookmarkStart w:id="101" w:name="_Toc207609184"/>
      <w:bookmarkStart w:id="102" w:name="_Toc209250722"/>
      <w:bookmarkStart w:id="103" w:name="_Toc209251130"/>
      <w:bookmarkStart w:id="104" w:name="_Toc205005289"/>
      <w:bookmarkStart w:id="105" w:name="_Toc209261435"/>
      <w:bookmarkStart w:id="106" w:name="_Toc216667823"/>
      <w:bookmarkStart w:id="107" w:name="_Toc209332636"/>
      <w:bookmarkStart w:id="108" w:name="_Toc205004971"/>
      <w:bookmarkStart w:id="109" w:name="_Toc214365793"/>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四、 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投标文件的递交</w:t>
      </w:r>
    </w:p>
    <w:p>
      <w:pPr>
        <w:numPr>
          <w:ilvl w:val="1"/>
          <w:numId w:val="9"/>
        </w:numPr>
        <w:tabs>
          <w:tab w:val="left" w:pos="525"/>
        </w:tabs>
        <w:ind w:left="527" w:hanging="527"/>
        <w:rPr>
          <w:rFonts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pPr>
        <w:numPr>
          <w:ilvl w:val="1"/>
          <w:numId w:val="9"/>
        </w:numPr>
        <w:tabs>
          <w:tab w:val="left" w:pos="525"/>
        </w:tabs>
        <w:ind w:left="527" w:hanging="527"/>
        <w:rPr>
          <w:rFonts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pPr>
        <w:numPr>
          <w:ilvl w:val="0"/>
          <w:numId w:val="10"/>
        </w:numPr>
        <w:tabs>
          <w:tab w:val="left" w:pos="525"/>
        </w:tabs>
        <w:ind w:left="947"/>
        <w:rPr>
          <w:rFonts w:ascii="宋体" w:hAnsi="宋体" w:eastAsia="宋体" w:cs="宋体"/>
          <w:b/>
          <w:sz w:val="22"/>
        </w:rPr>
      </w:pPr>
      <w:r>
        <w:rPr>
          <w:rFonts w:hint="eastAsia" w:ascii="宋体" w:hAnsi="宋体" w:eastAsia="宋体" w:cs="宋体"/>
          <w:b/>
          <w:sz w:val="22"/>
        </w:rPr>
        <w:t>投标保证金缴纳凭证；</w:t>
      </w:r>
    </w:p>
    <w:p>
      <w:pPr>
        <w:numPr>
          <w:ilvl w:val="0"/>
          <w:numId w:val="10"/>
        </w:numPr>
        <w:tabs>
          <w:tab w:val="left" w:pos="525"/>
        </w:tabs>
        <w:ind w:left="947"/>
        <w:rPr>
          <w:rFonts w:ascii="宋体" w:hAnsi="宋体" w:eastAsia="宋体" w:cs="宋体"/>
          <w:b/>
          <w:sz w:val="22"/>
        </w:rPr>
      </w:pPr>
      <w:r>
        <w:rPr>
          <w:rFonts w:hint="eastAsia" w:ascii="宋体" w:hAnsi="宋体" w:eastAsia="宋体" w:cs="宋体"/>
          <w:b/>
          <w:sz w:val="22"/>
        </w:rPr>
        <w:t>投标人代表有效身份证件（原件）；</w:t>
      </w:r>
    </w:p>
    <w:p>
      <w:pPr>
        <w:numPr>
          <w:ilvl w:val="0"/>
          <w:numId w:val="10"/>
        </w:numPr>
        <w:tabs>
          <w:tab w:val="left" w:pos="525"/>
        </w:tabs>
        <w:ind w:left="947"/>
        <w:rPr>
          <w:rFonts w:ascii="宋体" w:hAnsi="宋体" w:eastAsia="宋体" w:cs="宋体"/>
          <w:b/>
          <w:sz w:val="22"/>
        </w:rPr>
      </w:pPr>
      <w:r>
        <w:rPr>
          <w:rFonts w:hint="eastAsia" w:ascii="宋体" w:hAnsi="宋体" w:eastAsia="宋体" w:cs="宋体"/>
          <w:b/>
          <w:sz w:val="22"/>
        </w:rPr>
        <w:t>如企业/事业单位法定代表人（法定负责人）委派投标人代表的，需提交法定代表人（法定负责人）授权书（原件）。</w:t>
      </w:r>
    </w:p>
    <w:p>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投标文件的修改和撤回</w:t>
      </w:r>
    </w:p>
    <w:p>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rPr>
        <w:t>在投标文件递交截止时间前，投标人可以用书面形式提出修改或撤回其投标并送达到采购人，但不得影响开标活动的正常进行。</w:t>
      </w:r>
    </w:p>
    <w:p>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“投标文件修改”或“投标文件撤回通知”都应密封并在密封袋上写明投标项目名称、编号、投标单位名称，并注明“投标文件修改”或“投标文件撤回通知”字样。</w:t>
      </w:r>
    </w:p>
    <w:p>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ascii="宋体" w:hAnsi="宋体" w:eastAsia="宋体" w:cs="宋体"/>
          <w:b/>
          <w:sz w:val="22"/>
          <w:u w:val="single"/>
        </w:rPr>
      </w:pPr>
      <w:r>
        <w:rPr>
          <w:rFonts w:hint="eastAsia" w:ascii="宋体" w:hAnsi="宋体" w:eastAsia="宋体" w:cs="宋体"/>
          <w:b/>
          <w:sz w:val="22"/>
          <w:u w:val="single"/>
        </w:rPr>
        <w:t>▲发生下列情况之一的投标文件将拒收：</w:t>
      </w:r>
    </w:p>
    <w:p>
      <w:pPr>
        <w:numPr>
          <w:ilvl w:val="1"/>
          <w:numId w:val="12"/>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pPr>
        <w:numPr>
          <w:ilvl w:val="1"/>
          <w:numId w:val="12"/>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未购买采购文件；</w:t>
      </w:r>
    </w:p>
    <w:p>
      <w:pPr>
        <w:numPr>
          <w:ilvl w:val="1"/>
          <w:numId w:val="12"/>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未密封或未装订的投标文件及由于包装不妥在送达途中严重破损或失散的投标文件；</w:t>
      </w:r>
    </w:p>
    <w:p>
      <w:pPr>
        <w:numPr>
          <w:ilvl w:val="1"/>
          <w:numId w:val="12"/>
        </w:numPr>
        <w:tabs>
          <w:tab w:val="left" w:pos="525"/>
        </w:tabs>
        <w:ind w:left="527" w:hanging="527"/>
        <w:rPr>
          <w:rFonts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pPr>
        <w:spacing w:before="156" w:beforeLines="50" w:after="156" w:afterLines="50"/>
        <w:jc w:val="center"/>
        <w:rPr>
          <w:rFonts w:ascii="宋体" w:hAnsi="宋体" w:eastAsia="宋体" w:cs="宋体"/>
          <w:b/>
          <w:sz w:val="28"/>
          <w:szCs w:val="28"/>
        </w:rPr>
      </w:pPr>
      <w:bookmarkStart w:id="110" w:name="_Toc204578579"/>
      <w:bookmarkStart w:id="111" w:name="_Toc219538617"/>
      <w:bookmarkStart w:id="112" w:name="_Toc205877561"/>
      <w:bookmarkStart w:id="113" w:name="_Toc209332637"/>
      <w:bookmarkStart w:id="114" w:name="_Toc207609185"/>
      <w:bookmarkStart w:id="115" w:name="_Toc223933225"/>
      <w:bookmarkStart w:id="116" w:name="_Toc223717608"/>
      <w:bookmarkStart w:id="117" w:name="_Toc209250723"/>
      <w:bookmarkStart w:id="118" w:name="_Toc204491321"/>
      <w:bookmarkStart w:id="119" w:name="_Toc227489891"/>
      <w:bookmarkStart w:id="120" w:name="_Toc209261436"/>
      <w:bookmarkStart w:id="121" w:name="_Toc216667824"/>
      <w:bookmarkStart w:id="122" w:name="_Toc227057037"/>
      <w:bookmarkStart w:id="123" w:name="_Toc214365794"/>
      <w:bookmarkStart w:id="124" w:name="_Toc209261369"/>
      <w:bookmarkStart w:id="125" w:name="_Toc215415534"/>
      <w:bookmarkStart w:id="126" w:name="_Toc217460689"/>
      <w:bookmarkStart w:id="127" w:name="_Toc205005290"/>
      <w:bookmarkStart w:id="128" w:name="_Toc209251131"/>
      <w:bookmarkStart w:id="129" w:name="_Toc205703106"/>
      <w:bookmarkStart w:id="130" w:name="_Toc210879712"/>
      <w:bookmarkStart w:id="131" w:name="_Toc218041730"/>
      <w:bookmarkStart w:id="132" w:name="_Toc205004972"/>
      <w:bookmarkStart w:id="133" w:name="_Toc205877456"/>
      <w:bookmarkStart w:id="134" w:name="_Toc227056850"/>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五、 开标和评审</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numPr>
          <w:ilvl w:val="0"/>
          <w:numId w:val="3"/>
        </w:numPr>
        <w:tabs>
          <w:tab w:val="left" w:pos="525"/>
          <w:tab w:val="left" w:pos="900"/>
        </w:tabs>
        <w:ind w:left="525" w:hanging="525"/>
        <w:rPr>
          <w:rFonts w:ascii="宋体" w:hAnsi="宋体" w:eastAsia="宋体" w:cs="宋体"/>
          <w:sz w:val="22"/>
        </w:rPr>
      </w:pPr>
      <w:bookmarkStart w:id="135" w:name="_Toc205877562"/>
      <w:bookmarkStart w:id="136" w:name="_Toc217460690"/>
      <w:bookmarkStart w:id="137" w:name="_Toc205703107"/>
      <w:bookmarkStart w:id="138" w:name="_Toc223933226"/>
      <w:bookmarkStart w:id="139" w:name="_Toc204491322"/>
      <w:bookmarkStart w:id="140" w:name="_Toc204578580"/>
      <w:bookmarkStart w:id="141" w:name="_Toc205004973"/>
      <w:bookmarkStart w:id="142" w:name="_Toc209332638"/>
      <w:bookmarkStart w:id="143" w:name="_Toc209261370"/>
      <w:bookmarkStart w:id="144" w:name="_Toc214365795"/>
      <w:bookmarkStart w:id="145" w:name="_Toc227489892"/>
      <w:bookmarkStart w:id="146" w:name="_Toc216667825"/>
      <w:bookmarkStart w:id="147" w:name="_Toc209250724"/>
      <w:bookmarkStart w:id="148" w:name="_Toc223717609"/>
      <w:bookmarkStart w:id="149" w:name="_Toc219538618"/>
      <w:bookmarkStart w:id="150" w:name="_Toc205877457"/>
      <w:bookmarkStart w:id="151" w:name="_Toc205005291"/>
      <w:bookmarkStart w:id="152" w:name="_Toc207609186"/>
      <w:bookmarkStart w:id="153" w:name="_Toc218041731"/>
      <w:bookmarkStart w:id="154" w:name="_Toc210879713"/>
      <w:bookmarkStart w:id="155" w:name="_Toc215415535"/>
      <w:bookmarkStart w:id="156" w:name="_Toc227057038"/>
      <w:bookmarkStart w:id="157" w:name="_Toc209261437"/>
      <w:bookmarkStart w:id="158" w:name="_Toc209251132"/>
      <w:bookmarkStart w:id="159" w:name="_Toc227056851"/>
      <w:r>
        <w:rPr>
          <w:rFonts w:hint="eastAsia" w:ascii="宋体" w:hAnsi="宋体" w:eastAsia="宋体" w:cs="宋体"/>
          <w:sz w:val="22"/>
        </w:rPr>
        <w:t>评标委员会</w:t>
      </w:r>
    </w:p>
    <w:p>
      <w:pPr>
        <w:ind w:left="540" w:leftChars="257"/>
        <w:rPr>
          <w:rFonts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评标过程的保密性</w:t>
      </w:r>
    </w:p>
    <w:p>
      <w:pPr>
        <w:ind w:left="540" w:leftChars="257"/>
        <w:rPr>
          <w:rFonts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开标、评标</w:t>
      </w:r>
    </w:p>
    <w:p>
      <w:pPr>
        <w:numPr>
          <w:ilvl w:val="1"/>
          <w:numId w:val="13"/>
        </w:numPr>
        <w:tabs>
          <w:tab w:val="left" w:pos="540"/>
        </w:tabs>
        <w:ind w:left="525" w:hanging="525"/>
        <w:rPr>
          <w:rFonts w:ascii="宋体" w:hAnsi="宋体" w:eastAsia="宋体" w:cs="宋体"/>
          <w:bCs/>
          <w:sz w:val="22"/>
        </w:rPr>
      </w:pPr>
      <w:r>
        <w:rPr>
          <w:rFonts w:hint="eastAsia" w:ascii="宋体" w:hAnsi="宋体" w:eastAsia="宋体" w:cs="宋体"/>
          <w:bCs/>
          <w:sz w:val="22"/>
        </w:rPr>
        <w:t>开标程序：</w:t>
      </w:r>
    </w:p>
    <w:p>
      <w:pPr>
        <w:numPr>
          <w:ilvl w:val="0"/>
          <w:numId w:val="14"/>
        </w:numPr>
        <w:rPr>
          <w:rFonts w:ascii="宋体" w:hAnsi="宋体" w:eastAsia="宋体" w:cs="宋体"/>
          <w:bCs/>
          <w:sz w:val="22"/>
        </w:rPr>
      </w:pPr>
      <w:r>
        <w:rPr>
          <w:rFonts w:hint="eastAsia" w:ascii="宋体" w:hAnsi="宋体" w:eastAsia="宋体" w:cs="宋体"/>
          <w:bCs/>
          <w:sz w:val="22"/>
        </w:rPr>
        <w:t>宣布开标纪律；</w:t>
      </w:r>
    </w:p>
    <w:p>
      <w:pPr>
        <w:numPr>
          <w:ilvl w:val="0"/>
          <w:numId w:val="14"/>
        </w:numPr>
        <w:rPr>
          <w:rFonts w:ascii="宋体" w:hAnsi="宋体" w:eastAsia="宋体" w:cs="宋体"/>
          <w:bCs/>
          <w:sz w:val="22"/>
        </w:rPr>
      </w:pPr>
      <w:r>
        <w:rPr>
          <w:rFonts w:hint="eastAsia" w:ascii="宋体" w:hAnsi="宋体" w:eastAsia="宋体" w:cs="宋体"/>
          <w:bCs/>
          <w:sz w:val="22"/>
        </w:rPr>
        <w:t>公布在投标截止时间前递交投标文件的投标供应商名称，并点名确认投标供应商是否派授权代表到场；</w:t>
      </w:r>
    </w:p>
    <w:p>
      <w:pPr>
        <w:numPr>
          <w:ilvl w:val="0"/>
          <w:numId w:val="14"/>
        </w:numPr>
        <w:rPr>
          <w:rFonts w:ascii="宋体" w:hAnsi="宋体" w:eastAsia="宋体" w:cs="宋体"/>
          <w:bCs/>
          <w:sz w:val="22"/>
        </w:rPr>
      </w:pPr>
      <w:r>
        <w:rPr>
          <w:rFonts w:hint="eastAsia" w:ascii="宋体" w:hAnsi="宋体" w:eastAsia="宋体" w:cs="宋体"/>
          <w:bCs/>
          <w:sz w:val="22"/>
        </w:rPr>
        <w:t>宣布唱标人、记录人、监督人员等有关人员姓名；</w:t>
      </w:r>
    </w:p>
    <w:p>
      <w:pPr>
        <w:numPr>
          <w:ilvl w:val="0"/>
          <w:numId w:val="14"/>
        </w:numPr>
        <w:rPr>
          <w:rFonts w:ascii="宋体" w:hAnsi="宋体" w:eastAsia="宋体" w:cs="宋体"/>
          <w:bCs/>
          <w:sz w:val="22"/>
        </w:rPr>
      </w:pPr>
      <w:r>
        <w:rPr>
          <w:rFonts w:hint="eastAsia" w:ascii="宋体" w:hAnsi="宋体" w:eastAsia="宋体" w:cs="宋体"/>
          <w:bCs/>
          <w:sz w:val="22"/>
        </w:rPr>
        <w:t>密封情况检查：由投标供应商或其推选的代表检查投标文件密封情况；</w:t>
      </w:r>
    </w:p>
    <w:p>
      <w:pPr>
        <w:numPr>
          <w:ilvl w:val="0"/>
          <w:numId w:val="14"/>
        </w:numPr>
        <w:rPr>
          <w:rFonts w:ascii="宋体" w:hAnsi="宋体" w:eastAsia="宋体" w:cs="宋体"/>
          <w:bCs/>
          <w:sz w:val="22"/>
        </w:rPr>
      </w:pPr>
      <w:r>
        <w:rPr>
          <w:rFonts w:hint="eastAsia" w:ascii="宋体" w:hAnsi="宋体" w:eastAsia="宋体" w:cs="宋体"/>
          <w:bCs/>
          <w:sz w:val="22"/>
        </w:rPr>
        <w:t>开标顺序：分别开启技术资信部分投标文件、开启商务（报价）文件；</w:t>
      </w:r>
    </w:p>
    <w:p>
      <w:pPr>
        <w:numPr>
          <w:ilvl w:val="0"/>
          <w:numId w:val="14"/>
        </w:numPr>
        <w:rPr>
          <w:rFonts w:ascii="宋体" w:hAnsi="宋体" w:eastAsia="宋体" w:cs="宋体"/>
          <w:bCs/>
          <w:sz w:val="22"/>
        </w:rPr>
      </w:pPr>
      <w:r>
        <w:rPr>
          <w:rFonts w:hint="eastAsia" w:ascii="宋体" w:hAnsi="宋体" w:eastAsia="宋体" w:cs="宋体"/>
          <w:bCs/>
          <w:sz w:val="22"/>
        </w:rPr>
        <w:t>确认开标结果：投标供应商授权代表对开标书面记录进行当场校核及勘误，并签字确认；并同时由记录人、核对人当场签字确认。</w:t>
      </w:r>
    </w:p>
    <w:p>
      <w:pPr>
        <w:numPr>
          <w:ilvl w:val="0"/>
          <w:numId w:val="14"/>
        </w:numPr>
        <w:rPr>
          <w:rFonts w:ascii="宋体" w:hAnsi="宋体" w:eastAsia="宋体" w:cs="宋体"/>
          <w:bCs/>
          <w:sz w:val="22"/>
        </w:rPr>
      </w:pPr>
      <w:r>
        <w:rPr>
          <w:rFonts w:hint="eastAsia" w:ascii="宋体" w:hAnsi="宋体" w:eastAsia="宋体" w:cs="宋体"/>
          <w:bCs/>
          <w:sz w:val="22"/>
        </w:rPr>
        <w:t>宣布开标结束。</w:t>
      </w:r>
    </w:p>
    <w:p>
      <w:pPr>
        <w:numPr>
          <w:ilvl w:val="0"/>
          <w:numId w:val="14"/>
        </w:numPr>
        <w:rPr>
          <w:rFonts w:ascii="宋体" w:hAnsi="宋体" w:eastAsia="宋体" w:cs="宋体"/>
          <w:bCs/>
          <w:sz w:val="22"/>
        </w:rPr>
      </w:pPr>
      <w:r>
        <w:rPr>
          <w:rFonts w:hint="eastAsia" w:ascii="宋体" w:hAnsi="宋体" w:eastAsia="宋体" w:cs="宋体"/>
          <w:bCs/>
          <w:sz w:val="22"/>
        </w:rPr>
        <w:t>投标供应商授权代表未参加开标会议；未到场签字确认的，不影响开标，评标过程，视同认可开标结果；事后不得对采购相关人员、开标过程和开标结果提出异议。</w:t>
      </w:r>
    </w:p>
    <w:p>
      <w:pPr>
        <w:numPr>
          <w:ilvl w:val="1"/>
          <w:numId w:val="13"/>
        </w:numPr>
        <w:tabs>
          <w:tab w:val="left" w:pos="540"/>
        </w:tabs>
        <w:ind w:left="525" w:hanging="525"/>
        <w:rPr>
          <w:rFonts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投标文件的初审。初审分为资格性审查和符合性检查。</w:t>
      </w:r>
    </w:p>
    <w:p>
      <w:pPr>
        <w:numPr>
          <w:ilvl w:val="0"/>
          <w:numId w:val="15"/>
        </w:numPr>
        <w:tabs>
          <w:tab w:val="left" w:pos="525"/>
        </w:tabs>
        <w:ind w:left="525" w:hanging="315"/>
        <w:rPr>
          <w:rFonts w:ascii="宋体" w:hAnsi="宋体" w:eastAsia="宋体" w:cs="宋体"/>
          <w:b/>
          <w:bCs/>
          <w:sz w:val="22"/>
          <w:u w:val="single"/>
        </w:rPr>
      </w:pPr>
      <w:r>
        <w:rPr>
          <w:rFonts w:hint="eastAsia" w:ascii="宋体" w:hAnsi="宋体" w:eastAsia="宋体" w:cs="宋体"/>
          <w:bCs/>
          <w:sz w:val="22"/>
        </w:rPr>
        <w:t>资格性审查。依据法律、法规和采购文件的规定，评标委员会对各投标人进行资格性审查，资格性审查内容包括但不仅限于审查随投标文件一同提交的法定代表人（法定负责人）授权书（原件）、投标代表人有效身份证件（原件）、投标保证金缴纳凭证，以及投标文件所提交证明材料是否能证明符合本项目对投标人资格的实质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pPr>
        <w:numPr>
          <w:ilvl w:val="0"/>
          <w:numId w:val="15"/>
        </w:numPr>
        <w:tabs>
          <w:tab w:val="left" w:pos="525"/>
        </w:tabs>
        <w:ind w:left="525" w:hanging="315"/>
        <w:rPr>
          <w:rFonts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ascii="宋体" w:hAnsi="宋体" w:eastAsia="宋体" w:cs="宋体"/>
          <w:b/>
          <w:bCs/>
          <w:sz w:val="22"/>
          <w:u w:val="single"/>
        </w:rPr>
      </w:pPr>
      <w:r>
        <w:rPr>
          <w:rFonts w:hint="eastAsia" w:ascii="宋体" w:hAnsi="宋体" w:eastAsia="宋体" w:cs="宋体"/>
          <w:b/>
          <w:bCs/>
          <w:sz w:val="22"/>
          <w:u w:val="single"/>
        </w:rPr>
        <w:t>▲通过资格性审查与符合性审查的技术资信标由评委进行综合评审，审查确认未通过的技术资信标不予评审。</w:t>
      </w:r>
    </w:p>
    <w:p>
      <w:pPr>
        <w:numPr>
          <w:ilvl w:val="1"/>
          <w:numId w:val="13"/>
        </w:numPr>
        <w:tabs>
          <w:tab w:val="left" w:pos="525"/>
        </w:tabs>
        <w:ind w:left="525" w:hanging="525"/>
        <w:rPr>
          <w:rFonts w:ascii="宋体" w:hAnsi="宋体" w:eastAsia="宋体" w:cs="宋体"/>
          <w:b/>
          <w:bCs/>
          <w:sz w:val="22"/>
          <w:u w:val="single"/>
        </w:rPr>
      </w:pPr>
      <w:r>
        <w:rPr>
          <w:rFonts w:hint="eastAsia" w:ascii="宋体" w:hAnsi="宋体" w:eastAsia="宋体" w:cs="宋体"/>
          <w:b/>
          <w:bCs/>
          <w:sz w:val="22"/>
          <w:u w:val="single"/>
        </w:rPr>
        <w:t>▲在对各投标人的投标文件进行综合评审时，投标文件有下列情况之一的，经评标委员会认定后按无效标处理：</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投标文件未按要求加盖单位公章、无法定代表人（法定负责人）或其授权代表签字或盖章的；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投标文件附有采购人不能接受的条件；</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授权代表参加投标没有法定代表人（法定负责人）合法、有效委托的；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投标单位递交两份以上内容不同的投标书，未声明哪一份有效的；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投标单位未能按要求提交投标保证金的；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未实质性响应采购文件中“▲”条款的；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投标报价超过最高限价（大于438万元）的；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投标人提交的投标文件相关证书、材料经评标委员会认定有弄虚作假情况的；</w:t>
      </w:r>
    </w:p>
    <w:p>
      <w:pPr>
        <w:numPr>
          <w:ilvl w:val="0"/>
          <w:numId w:val="16"/>
        </w:numPr>
        <w:rPr>
          <w:rFonts w:ascii="宋体" w:hAnsi="宋体" w:eastAsia="宋体" w:cs="宋体"/>
          <w:bCs/>
          <w:sz w:val="22"/>
        </w:rPr>
      </w:pPr>
      <w:r>
        <w:rPr>
          <w:rFonts w:hint="eastAsia" w:ascii="宋体" w:hAnsi="宋体" w:eastAsia="宋体" w:cs="宋体"/>
          <w:bCs/>
          <w:sz w:val="22"/>
          <w:u w:val="single"/>
        </w:rPr>
        <w:t>评标委员会认定不符合法律、法规和采购文件中规定的其他实质性要求的。</w:t>
      </w:r>
    </w:p>
    <w:p>
      <w:pPr>
        <w:tabs>
          <w:tab w:val="left" w:pos="525"/>
        </w:tabs>
        <w:ind w:firstLine="440" w:firstLineChars="200"/>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rPr>
        <w:t>：</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1）未按采购文件要求编制、</w:t>
      </w:r>
      <w:r>
        <w:rPr>
          <w:rFonts w:hint="eastAsia" w:ascii="宋体" w:hAnsi="宋体" w:eastAsia="宋体" w:cs="宋体"/>
          <w:bCs/>
          <w:sz w:val="22"/>
          <w:u w:val="single"/>
        </w:rPr>
        <w:t>内容不全</w:t>
      </w:r>
      <w:r>
        <w:rPr>
          <w:rFonts w:hint="eastAsia" w:ascii="宋体" w:hAnsi="宋体" w:eastAsia="宋体" w:cs="宋体"/>
          <w:kern w:val="0"/>
          <w:sz w:val="22"/>
          <w:u w:val="single"/>
        </w:rPr>
        <w:t>或实质性内容字迹模糊、辨认不清的投标文件；</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2）除22.4条款以外，出现其它明显不符合服务内容要求、技术服务标准要求或不满足采购文件“数字化平台项目内容及要求”中的主要技术指标</w:t>
      </w:r>
      <w:r>
        <w:rPr>
          <w:rFonts w:hint="eastAsia" w:ascii="宋体" w:hAnsi="宋体" w:eastAsia="宋体" w:cs="宋体"/>
          <w:bCs/>
          <w:sz w:val="22"/>
          <w:u w:val="single"/>
        </w:rPr>
        <w:t>，对服务质量产生重大影响</w:t>
      </w:r>
      <w:r>
        <w:rPr>
          <w:rFonts w:hint="eastAsia" w:ascii="宋体" w:hAnsi="宋体" w:eastAsia="宋体" w:cs="宋体"/>
          <w:kern w:val="0"/>
          <w:sz w:val="22"/>
          <w:u w:val="single"/>
        </w:rPr>
        <w:t>的投标文件；</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3）除22.4条款以外，出现投标项目服务工作量与采购文件对比出现较大偏差；商务报价明细表计算错误，出现较大差错；</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pPr>
        <w:numPr>
          <w:ilvl w:val="1"/>
          <w:numId w:val="13"/>
        </w:numPr>
        <w:tabs>
          <w:tab w:val="left" w:pos="525"/>
        </w:tabs>
        <w:ind w:left="525" w:hanging="525"/>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有下列情形之一的，视为投标供应商串通投标，其投标无效</w:t>
      </w:r>
      <w:r>
        <w:rPr>
          <w:rFonts w:hint="eastAsia" w:ascii="宋体" w:hAnsi="宋体" w:eastAsia="宋体" w:cs="宋体"/>
          <w:kern w:val="0"/>
          <w:sz w:val="22"/>
        </w:rPr>
        <w:t>：</w:t>
      </w:r>
    </w:p>
    <w:p>
      <w:pPr>
        <w:ind w:firstLine="418" w:firstLineChars="190"/>
        <w:rPr>
          <w:rFonts w:ascii="宋体" w:hAnsi="宋体" w:eastAsia="宋体" w:cs="宋体"/>
          <w:kern w:val="0"/>
          <w:sz w:val="22"/>
        </w:rPr>
      </w:pPr>
      <w:r>
        <w:rPr>
          <w:rFonts w:hint="eastAsia" w:ascii="宋体" w:hAnsi="宋体" w:eastAsia="宋体" w:cs="宋体"/>
          <w:kern w:val="0"/>
          <w:sz w:val="22"/>
        </w:rPr>
        <w:t>1)不同投标供应商的投标文件由同一单位或者个人编制；</w:t>
      </w:r>
    </w:p>
    <w:p>
      <w:pPr>
        <w:ind w:firstLine="418" w:firstLineChars="190"/>
        <w:rPr>
          <w:rFonts w:ascii="宋体" w:hAnsi="宋体" w:eastAsia="宋体" w:cs="宋体"/>
          <w:kern w:val="0"/>
          <w:sz w:val="22"/>
        </w:rPr>
      </w:pPr>
      <w:r>
        <w:rPr>
          <w:rFonts w:hint="eastAsia" w:ascii="宋体" w:hAnsi="宋体" w:eastAsia="宋体" w:cs="宋体"/>
          <w:kern w:val="0"/>
          <w:sz w:val="22"/>
        </w:rPr>
        <w:t>2)不同投标供应商委托同一单位或者个人办理投标事宜；</w:t>
      </w:r>
    </w:p>
    <w:p>
      <w:pPr>
        <w:ind w:firstLine="418" w:firstLineChars="190"/>
        <w:rPr>
          <w:rFonts w:ascii="宋体" w:hAnsi="宋体" w:eastAsia="宋体" w:cs="宋体"/>
          <w:kern w:val="0"/>
          <w:sz w:val="22"/>
        </w:rPr>
      </w:pPr>
      <w:r>
        <w:rPr>
          <w:rFonts w:hint="eastAsia" w:ascii="宋体" w:hAnsi="宋体" w:eastAsia="宋体" w:cs="宋体"/>
          <w:kern w:val="0"/>
          <w:sz w:val="22"/>
        </w:rPr>
        <w:t>3)不同投标供应商的投标文件载明的项目管理成员或者联系人员为同一人；</w:t>
      </w:r>
    </w:p>
    <w:p>
      <w:pPr>
        <w:ind w:firstLine="418" w:firstLineChars="190"/>
        <w:rPr>
          <w:rFonts w:ascii="宋体" w:hAnsi="宋体" w:eastAsia="宋体" w:cs="宋体"/>
          <w:kern w:val="0"/>
          <w:sz w:val="22"/>
        </w:rPr>
      </w:pPr>
      <w:r>
        <w:rPr>
          <w:rFonts w:hint="eastAsia" w:ascii="宋体" w:hAnsi="宋体" w:eastAsia="宋体" w:cs="宋体"/>
          <w:kern w:val="0"/>
          <w:sz w:val="22"/>
        </w:rPr>
        <w:t>4）不同投标供应商的投标文件异常一致或者投标报价呈规律性差异；</w:t>
      </w:r>
    </w:p>
    <w:p>
      <w:pPr>
        <w:ind w:firstLine="418" w:firstLineChars="190"/>
        <w:rPr>
          <w:rFonts w:ascii="宋体" w:hAnsi="宋体" w:eastAsia="宋体" w:cs="宋体"/>
          <w:kern w:val="0"/>
          <w:sz w:val="22"/>
        </w:rPr>
      </w:pPr>
      <w:r>
        <w:rPr>
          <w:rFonts w:hint="eastAsia" w:ascii="宋体" w:hAnsi="宋体" w:eastAsia="宋体" w:cs="宋体"/>
          <w:kern w:val="0"/>
          <w:sz w:val="22"/>
        </w:rPr>
        <w:t>5）不同投标供应商的投标文件相互混装；</w:t>
      </w:r>
    </w:p>
    <w:p>
      <w:pPr>
        <w:ind w:firstLine="418" w:firstLineChars="190"/>
        <w:rPr>
          <w:rFonts w:ascii="宋体" w:hAnsi="宋体" w:eastAsia="宋体" w:cs="宋体"/>
          <w:kern w:val="0"/>
          <w:sz w:val="22"/>
        </w:rPr>
      </w:pPr>
      <w:r>
        <w:rPr>
          <w:rFonts w:hint="eastAsia" w:ascii="宋体" w:hAnsi="宋体" w:eastAsia="宋体" w:cs="宋体"/>
          <w:kern w:val="0"/>
          <w:sz w:val="22"/>
        </w:rPr>
        <w:t>6）不同投标供应商的投标保证金从同一单位或者个人的账户转出。</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 xml:space="preserve"> “技术资信标”评审结束后，由评标委员会对各投标人的商务报价进行核查，核查时发现投标报价内容不清楚可要求投标人书面澄清，计算上的错误，可按下面方法修正：</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投标文件中开标一览表(报价表)内容与投标文件中相应内容不一致的，以开标一览表(报价表)为准；</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大写金额和小写金额不一致的，以大写金额为准；</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单价金额小数点或者百分比有明显错位的，以开标一览表的总价为准，并修改单价；</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总价金额与按单价汇总金额不一致的，以单价金额计算结果为准。</w:t>
      </w:r>
    </w:p>
    <w:p>
      <w:pPr>
        <w:tabs>
          <w:tab w:val="left" w:pos="420"/>
          <w:tab w:val="left" w:pos="735"/>
        </w:tabs>
        <w:ind w:left="420"/>
        <w:rPr>
          <w:rFonts w:ascii="宋体" w:hAnsi="宋体" w:eastAsia="宋体" w:cs="宋体"/>
          <w:sz w:val="22"/>
        </w:rPr>
      </w:pPr>
      <w:r>
        <w:rPr>
          <w:rFonts w:hint="eastAsia" w:ascii="宋体" w:hAnsi="宋体" w:eastAsia="宋体" w:cs="宋体"/>
          <w:sz w:val="22"/>
        </w:rPr>
        <w:t>同时出现两种以上不一致的，按照前款规定的顺序修正（前款优先顺序为1）→2）→3）→4））。</w:t>
      </w:r>
    </w:p>
    <w:p>
      <w:pPr>
        <w:tabs>
          <w:tab w:val="left" w:pos="735"/>
        </w:tabs>
        <w:ind w:left="420"/>
        <w:rPr>
          <w:rFonts w:ascii="宋体" w:hAnsi="宋体" w:eastAsia="宋体" w:cs="宋体"/>
          <w:sz w:val="22"/>
        </w:rPr>
      </w:pPr>
      <w:r>
        <w:rPr>
          <w:rFonts w:hint="eastAsia" w:ascii="宋体" w:hAnsi="宋体" w:eastAsia="宋体" w:cs="宋体"/>
          <w:b/>
          <w:bCs/>
          <w:sz w:val="22"/>
        </w:rPr>
        <w:t>修正后的报价按照本投标须知第23.1条的规定经投标人确认后产生约束力，投标人不确认的，其投标无效。</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pPr>
        <w:numPr>
          <w:ilvl w:val="1"/>
          <w:numId w:val="13"/>
        </w:numPr>
        <w:tabs>
          <w:tab w:val="left" w:pos="525"/>
        </w:tabs>
        <w:ind w:left="525" w:hanging="525"/>
        <w:rPr>
          <w:rFonts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评标过程中遇到特殊情况，由评标委员会遵循公开、公正原则，采取投票方式按照少数服从多数原则决定。</w:t>
      </w:r>
    </w:p>
    <w:p>
      <w:pPr>
        <w:numPr>
          <w:ilvl w:val="1"/>
          <w:numId w:val="13"/>
        </w:numPr>
        <w:tabs>
          <w:tab w:val="left" w:pos="525"/>
        </w:tabs>
        <w:ind w:left="525" w:hanging="525"/>
        <w:rPr>
          <w:rFonts w:ascii="宋体" w:hAnsi="宋体" w:eastAsia="宋体" w:cs="宋体"/>
          <w:b/>
          <w:bCs/>
          <w:sz w:val="22"/>
          <w:u w:val="single"/>
          <w:shd w:val="clear" w:color="auto" w:fill="FFFF00"/>
        </w:rPr>
      </w:pPr>
      <w:r>
        <w:rPr>
          <w:rFonts w:hint="eastAsia" w:ascii="宋体" w:hAnsi="宋体" w:eastAsia="宋体" w:cs="宋体"/>
          <w:b/>
          <w:bCs/>
          <w:sz w:val="22"/>
          <w:u w:val="single"/>
        </w:rPr>
        <w:t>▲如果供应商的报价超出最高限价，则该供应商的报价作无效标处理。本次采购如果所有供应商的报价均超出最高限价，则本采购项目做废标处理。</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如投标截止时间、评审期间，出现有效供应商不足3家的本项目作流标处理。</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投标文件的澄清</w:t>
      </w:r>
    </w:p>
    <w:p>
      <w:pPr>
        <w:numPr>
          <w:ilvl w:val="1"/>
          <w:numId w:val="18"/>
        </w:numPr>
        <w:tabs>
          <w:tab w:val="left" w:pos="420"/>
          <w:tab w:val="left" w:pos="450"/>
        </w:tabs>
        <w:ind w:left="525" w:hanging="525"/>
        <w:rPr>
          <w:rFonts w:ascii="宋体" w:hAnsi="宋体" w:eastAsia="宋体" w:cs="宋体"/>
          <w:sz w:val="22"/>
        </w:rPr>
      </w:pPr>
      <w:r>
        <w:rPr>
          <w:rFonts w:hint="eastAsia" w:ascii="宋体" w:hAnsi="宋体" w:eastAsia="宋体" w:cs="宋体"/>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法定负责人）或其授权代表签署，但澄清内容不得超出投标文件的范围或者改变投标文件的实质性内容。</w:t>
      </w:r>
      <w:r>
        <w:rPr>
          <w:rFonts w:hint="eastAsia" w:ascii="宋体" w:hAnsi="宋体" w:eastAsia="宋体" w:cs="宋体"/>
          <w:b/>
          <w:bCs/>
          <w:sz w:val="22"/>
        </w:rPr>
        <w:t>拒不按要求对其投标文件进行澄清，说明或补正的投标人，评标委员会将其作无效标处理</w:t>
      </w:r>
      <w:r>
        <w:rPr>
          <w:rFonts w:hint="eastAsia" w:ascii="宋体" w:hAnsi="宋体" w:eastAsia="宋体" w:cs="宋体"/>
          <w:sz w:val="22"/>
        </w:rPr>
        <w:t>。</w:t>
      </w:r>
    </w:p>
    <w:p>
      <w:pPr>
        <w:numPr>
          <w:ilvl w:val="1"/>
          <w:numId w:val="18"/>
        </w:numPr>
        <w:tabs>
          <w:tab w:val="left" w:pos="420"/>
          <w:tab w:val="left" w:pos="450"/>
        </w:tabs>
        <w:ind w:left="525" w:hanging="525"/>
        <w:rPr>
          <w:rFonts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
          <w:bCs/>
          <w:sz w:val="22"/>
        </w:rPr>
        <w:t>经澄清后，若偏差仍存在，且不可接受，评标委员会有权认定其为“没有实质性响应采购文件要求”，其投标不进入下一步评审</w:t>
      </w:r>
      <w:r>
        <w:rPr>
          <w:rFonts w:hint="eastAsia" w:ascii="宋体" w:hAnsi="宋体" w:eastAsia="宋体" w:cs="宋体"/>
          <w:sz w:val="22"/>
        </w:rPr>
        <w:t>。</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确定中标候选人</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本次采购由评标委员会推荐中标候选人，采购人根据评标委员会的推荐结果进行最终确认。</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采购人将把中标通知书授予最佳投标者，最低报价不是中标的保证。</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采购单位对决标结果不做任何解释。</w:t>
      </w:r>
    </w:p>
    <w:p>
      <w:pPr>
        <w:numPr>
          <w:ilvl w:val="0"/>
          <w:numId w:val="3"/>
        </w:numPr>
        <w:tabs>
          <w:tab w:val="left" w:pos="525"/>
          <w:tab w:val="left" w:pos="900"/>
        </w:tabs>
        <w:ind w:left="525" w:hanging="525"/>
        <w:rPr>
          <w:rFonts w:ascii="宋体" w:hAnsi="宋体" w:eastAsia="宋体" w:cs="宋体"/>
          <w:b/>
          <w:szCs w:val="21"/>
        </w:rPr>
      </w:pPr>
      <w:r>
        <w:rPr>
          <w:rFonts w:hint="eastAsia" w:ascii="宋体" w:hAnsi="宋体" w:eastAsia="宋体" w:cs="宋体"/>
          <w:b/>
          <w:szCs w:val="21"/>
        </w:rPr>
        <w:t>重新采购</w:t>
      </w:r>
    </w:p>
    <w:p>
      <w:pPr>
        <w:snapToGrid w:val="0"/>
        <w:ind w:firstLine="420" w:firstLineChars="200"/>
        <w:rPr>
          <w:rFonts w:ascii="宋体" w:hAnsi="宋体" w:eastAsia="宋体" w:cs="宋体"/>
          <w:bCs/>
          <w:szCs w:val="21"/>
        </w:rPr>
      </w:pPr>
      <w:r>
        <w:rPr>
          <w:rFonts w:hint="eastAsia" w:ascii="宋体" w:hAnsi="宋体" w:eastAsia="宋体" w:cs="宋体"/>
          <w:bCs/>
          <w:szCs w:val="21"/>
        </w:rPr>
        <w:t>如本项目第一次采购因有效投标人数量不足3家作流（废）标处理，根据《温州市市属国有企业采购管理办法（试行）的通知》相关条款规定，采购人将重新组织采购。</w:t>
      </w:r>
    </w:p>
    <w:p>
      <w:pPr>
        <w:snapToGrid w:val="0"/>
        <w:ind w:firstLine="420" w:firstLineChars="200"/>
        <w:rPr>
          <w:rFonts w:ascii="宋体" w:hAnsi="宋体" w:eastAsia="宋体" w:cs="宋体"/>
          <w:bCs/>
          <w:szCs w:val="21"/>
        </w:rPr>
      </w:pPr>
      <w:r>
        <w:rPr>
          <w:rFonts w:hint="eastAsia" w:ascii="宋体" w:hAnsi="宋体" w:eastAsia="宋体" w:cs="宋体"/>
          <w:bCs/>
          <w:szCs w:val="21"/>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评标细则详见本采购文件《评标原则及方法》。</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未尽事宜遵循相关法律法规及规范性文件执行。</w:t>
      </w:r>
    </w:p>
    <w:p>
      <w:pPr>
        <w:spacing w:before="156" w:beforeLines="50" w:after="156" w:afterLines="50"/>
        <w:jc w:val="center"/>
        <w:rPr>
          <w:rFonts w:ascii="宋体" w:hAnsi="宋体" w:eastAsia="宋体" w:cs="宋体"/>
          <w:b/>
          <w:sz w:val="28"/>
          <w:szCs w:val="28"/>
        </w:rPr>
      </w:pPr>
    </w:p>
    <w:p>
      <w:pPr>
        <w:spacing w:before="156" w:beforeLines="50" w:after="156" w:afterLines="50"/>
        <w:jc w:val="center"/>
        <w:rPr>
          <w:rFonts w:ascii="宋体" w:hAnsi="宋体" w:eastAsia="宋体" w:cs="宋体"/>
          <w:b/>
          <w:sz w:val="28"/>
          <w:szCs w:val="28"/>
        </w:rPr>
      </w:pPr>
      <w:r>
        <w:rPr>
          <w:rFonts w:hint="eastAsia" w:ascii="宋体" w:hAnsi="宋体" w:eastAsia="宋体" w:cs="宋体"/>
          <w:b/>
          <w:sz w:val="28"/>
          <w:szCs w:val="28"/>
        </w:rPr>
        <w:t>六、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numPr>
          <w:ilvl w:val="0"/>
          <w:numId w:val="3"/>
        </w:numPr>
        <w:tabs>
          <w:tab w:val="left" w:pos="540"/>
          <w:tab w:val="left" w:pos="900"/>
        </w:tabs>
        <w:ind w:left="525" w:hanging="525"/>
        <w:rPr>
          <w:rFonts w:ascii="宋体" w:hAnsi="宋体" w:eastAsia="宋体" w:cs="宋体"/>
          <w:bCs/>
          <w:sz w:val="22"/>
        </w:rPr>
      </w:pPr>
      <w:r>
        <w:rPr>
          <w:rFonts w:hint="eastAsia" w:ascii="宋体" w:hAnsi="宋体" w:eastAsia="宋体" w:cs="宋体"/>
          <w:bCs/>
          <w:sz w:val="22"/>
        </w:rPr>
        <w:t>确定中标供应商</w:t>
      </w:r>
    </w:p>
    <w:p>
      <w:pPr>
        <w:numPr>
          <w:ilvl w:val="1"/>
          <w:numId w:val="20"/>
        </w:numPr>
        <w:tabs>
          <w:tab w:val="left" w:pos="540"/>
        </w:tabs>
        <w:rPr>
          <w:rFonts w:ascii="宋体" w:hAnsi="宋体" w:eastAsia="宋体" w:cs="宋体"/>
          <w:bCs/>
          <w:sz w:val="22"/>
        </w:rPr>
      </w:pPr>
      <w:r>
        <w:rPr>
          <w:rFonts w:hint="eastAsia" w:ascii="宋体" w:hAnsi="宋体" w:eastAsia="宋体" w:cs="宋体"/>
          <w:sz w:val="22"/>
        </w:rPr>
        <w:t>采购</w:t>
      </w:r>
      <w:r>
        <w:rPr>
          <w:rFonts w:hint="eastAsia" w:ascii="宋体" w:hAnsi="宋体" w:eastAsia="宋体" w:cs="宋体"/>
          <w:bCs/>
          <w:sz w:val="22"/>
        </w:rPr>
        <w:t>人自收到评标报告之日起5个工作日内，在评标报告确定的中标候选人名单中按顺序确定中标供应商。</w:t>
      </w:r>
    </w:p>
    <w:p>
      <w:pPr>
        <w:numPr>
          <w:ilvl w:val="1"/>
          <w:numId w:val="20"/>
        </w:numPr>
        <w:tabs>
          <w:tab w:val="left" w:pos="540"/>
        </w:tabs>
        <w:rPr>
          <w:rFonts w:ascii="宋体" w:hAnsi="宋体" w:eastAsia="宋体" w:cs="宋体"/>
          <w:bCs/>
          <w:sz w:val="22"/>
        </w:rPr>
      </w:pPr>
      <w:r>
        <w:rPr>
          <w:rFonts w:hint="eastAsia" w:ascii="宋体" w:hAnsi="宋体" w:eastAsia="宋体" w:cs="宋体"/>
          <w:sz w:val="22"/>
        </w:rPr>
        <w:t>中标</w:t>
      </w:r>
      <w:r>
        <w:rPr>
          <w:rFonts w:hint="eastAsia" w:ascii="宋体" w:hAnsi="宋体" w:eastAsia="宋体" w:cs="宋体"/>
          <w:bCs/>
          <w:sz w:val="22"/>
        </w:rPr>
        <w:t>供应商确定之日起2个工作日内，在</w:t>
      </w:r>
      <w:r>
        <w:rPr>
          <w:rFonts w:hint="eastAsia" w:ascii="宋体" w:hAnsi="宋体" w:eastAsia="宋体" w:cs="宋体"/>
          <w:sz w:val="22"/>
        </w:rPr>
        <w:t>发布项目采购公告的网站上</w:t>
      </w:r>
      <w:r>
        <w:rPr>
          <w:rFonts w:hint="eastAsia" w:ascii="宋体" w:hAnsi="宋体" w:eastAsia="宋体" w:cs="宋体"/>
          <w:bCs/>
          <w:sz w:val="22"/>
        </w:rPr>
        <w:t>公告中标结果，中标公告期限为1个工作日。</w:t>
      </w:r>
    </w:p>
    <w:p>
      <w:pPr>
        <w:numPr>
          <w:ilvl w:val="1"/>
          <w:numId w:val="20"/>
        </w:numPr>
        <w:tabs>
          <w:tab w:val="left" w:pos="540"/>
        </w:tabs>
        <w:rPr>
          <w:rFonts w:ascii="宋体" w:hAnsi="宋体" w:eastAsia="宋体" w:cs="宋体"/>
          <w:b/>
          <w:bCs/>
          <w:szCs w:val="24"/>
          <w:u w:val="single"/>
        </w:rPr>
      </w:pPr>
      <w:r>
        <w:rPr>
          <w:rFonts w:hint="eastAsia" w:ascii="宋体" w:hAnsi="宋体" w:eastAsia="宋体" w:cs="宋体"/>
          <w:b/>
          <w:bCs/>
          <w:sz w:val="22"/>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签订合同</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采购文件、中标投标供应商的投标文件及投标修改文件、评标过程中有关澄清文件及经双方签字的询标纪要（承诺）和中标通知书均作为合同附件。</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拒签合同的责任</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中标投标供应商在规定时间内（30日历天）借故否认已经承诺的条件、拒签合同，以投标违约处理，其投标保证金不予退回，并赔偿采购人由此造成的直接经济损失；采购人重新组织采购的，所需费用由原中标投标供应商承担。</w:t>
      </w:r>
    </w:p>
    <w:p>
      <w:pPr>
        <w:numPr>
          <w:ilvl w:val="0"/>
          <w:numId w:val="21"/>
        </w:numPr>
        <w:tabs>
          <w:tab w:val="left" w:pos="540"/>
        </w:tabs>
        <w:rPr>
          <w:rFonts w:ascii="宋体" w:hAnsi="宋体" w:eastAsia="宋体" w:cs="宋体"/>
          <w:bCs/>
          <w:sz w:val="22"/>
        </w:rPr>
      </w:pPr>
      <w:r>
        <w:rPr>
          <w:rFonts w:hint="eastAsia" w:ascii="宋体" w:hAnsi="宋体" w:eastAsia="宋体" w:cs="宋体"/>
          <w:b/>
          <w:sz w:val="22"/>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ascii="宋体" w:hAnsi="宋体" w:eastAsia="宋体" w:cs="宋体"/>
          <w:sz w:val="22"/>
        </w:rPr>
      </w:pPr>
      <w:r>
        <w:rPr>
          <w:rFonts w:hint="eastAsia" w:ascii="宋体" w:hAnsi="宋体" w:eastAsia="宋体" w:cs="宋体"/>
          <w:sz w:val="22"/>
        </w:rPr>
        <w:t>履约担保</w:t>
      </w:r>
    </w:p>
    <w:p>
      <w:pPr>
        <w:numPr>
          <w:ilvl w:val="0"/>
          <w:numId w:val="22"/>
        </w:numPr>
        <w:tabs>
          <w:tab w:val="left" w:pos="540"/>
        </w:tabs>
        <w:rPr>
          <w:rFonts w:ascii="宋体" w:hAnsi="宋体" w:eastAsia="宋体" w:cs="宋体"/>
          <w:b/>
          <w:bCs/>
          <w:sz w:val="22"/>
        </w:rPr>
      </w:pPr>
      <w:r>
        <w:rPr>
          <w:rFonts w:hint="eastAsia" w:ascii="宋体" w:hAnsi="宋体" w:eastAsia="宋体" w:cs="宋体"/>
          <w:b/>
          <w:bCs/>
          <w:sz w:val="22"/>
        </w:rPr>
        <w:t>中标人在收到中标通知书后，须按投标须知前附表的规定向采购人提交履约担保。</w:t>
      </w:r>
    </w:p>
    <w:p>
      <w:pPr>
        <w:numPr>
          <w:ilvl w:val="0"/>
          <w:numId w:val="22"/>
        </w:numPr>
        <w:tabs>
          <w:tab w:val="left" w:pos="540"/>
        </w:tabs>
        <w:rPr>
          <w:rFonts w:ascii="宋体" w:hAnsi="宋体" w:eastAsia="宋体" w:cs="宋体"/>
          <w:b/>
          <w:bCs/>
          <w:sz w:val="22"/>
        </w:rPr>
      </w:pPr>
      <w:r>
        <w:rPr>
          <w:rFonts w:hint="eastAsia" w:ascii="宋体" w:hAnsi="宋体" w:eastAsia="宋体" w:cs="宋体"/>
          <w:b/>
          <w:bCs/>
          <w:sz w:val="22"/>
        </w:rPr>
        <w:t>履约担保用于补偿采购人因中标人不能履行其合同义务而蒙受的损失。</w:t>
      </w:r>
    </w:p>
    <w:p>
      <w:pPr>
        <w:numPr>
          <w:ilvl w:val="0"/>
          <w:numId w:val="22"/>
        </w:numPr>
        <w:tabs>
          <w:tab w:val="left" w:pos="540"/>
        </w:tabs>
        <w:rPr>
          <w:rFonts w:ascii="宋体" w:hAnsi="宋体" w:eastAsia="宋体" w:cs="宋体"/>
          <w:sz w:val="22"/>
        </w:rPr>
      </w:pPr>
      <w:r>
        <w:rPr>
          <w:rFonts w:hint="eastAsia" w:ascii="宋体" w:hAnsi="宋体" w:eastAsia="宋体" w:cs="宋体"/>
          <w:b/>
          <w:bCs/>
          <w:sz w:val="22"/>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ascii="宋体" w:hAnsi="宋体" w:eastAsia="宋体" w:cs="宋体"/>
          <w:b/>
          <w:sz w:val="22"/>
          <w:shd w:val="clear" w:color="auto" w:fill="FFFF00"/>
        </w:rPr>
      </w:pPr>
      <w:r>
        <w:rPr>
          <w:rFonts w:hint="eastAsia" w:ascii="宋体" w:hAnsi="宋体" w:eastAsia="宋体" w:cs="宋体"/>
          <w:b/>
          <w:sz w:val="22"/>
        </w:rPr>
        <w:t>采购代理服务费</w:t>
      </w:r>
    </w:p>
    <w:p>
      <w:pPr>
        <w:numPr>
          <w:ilvl w:val="0"/>
          <w:numId w:val="23"/>
        </w:numPr>
        <w:ind w:left="538" w:leftChars="256"/>
        <w:rPr>
          <w:rFonts w:ascii="宋体" w:hAnsi="宋体" w:eastAsia="宋体" w:cs="宋体"/>
          <w:b/>
          <w:sz w:val="22"/>
        </w:rPr>
      </w:pPr>
      <w:bookmarkStart w:id="160" w:name="_Toc219538619"/>
      <w:bookmarkStart w:id="161" w:name="_Toc227056852"/>
      <w:bookmarkStart w:id="162" w:name="_Toc217460691"/>
      <w:bookmarkStart w:id="163" w:name="_Toc227489893"/>
      <w:bookmarkStart w:id="164" w:name="_Toc215415536"/>
      <w:bookmarkStart w:id="165" w:name="_Toc227057039"/>
      <w:bookmarkStart w:id="166" w:name="_Toc223933227"/>
      <w:bookmarkStart w:id="167" w:name="_Toc223717610"/>
      <w:bookmarkStart w:id="168" w:name="_Toc218041732"/>
      <w:bookmarkStart w:id="169" w:name="_Toc216667826"/>
      <w:r>
        <w:rPr>
          <w:rFonts w:hint="eastAsia" w:ascii="宋体" w:hAnsi="宋体" w:eastAsia="宋体" w:cs="宋体"/>
          <w:b/>
          <w:sz w:val="22"/>
        </w:rPr>
        <w:t>本次采购，采购代理服务费以标项为单位按国家计委计价格2002【1980】号服务类标准计取，由中标单位在领取中标通知书前支付给采购代理机构，采购代理服务费包含在投标总价中（报价不需要单列）。</w:t>
      </w:r>
    </w:p>
    <w:p>
      <w:pPr>
        <w:numPr>
          <w:ilvl w:val="0"/>
          <w:numId w:val="23"/>
        </w:numPr>
        <w:ind w:left="538" w:leftChars="256"/>
        <w:rPr>
          <w:rFonts w:ascii="宋体" w:hAnsi="宋体" w:eastAsia="宋体" w:cs="宋体"/>
          <w:b/>
          <w:szCs w:val="21"/>
        </w:rPr>
      </w:pPr>
      <w:r>
        <w:rPr>
          <w:rFonts w:hint="eastAsia" w:ascii="宋体" w:hAnsi="宋体" w:eastAsia="宋体" w:cs="宋体"/>
          <w:b/>
          <w:sz w:val="22"/>
        </w:rPr>
        <w:t>采购代理服务费收取以中标价为基准，按差额定率累进法计算，</w:t>
      </w:r>
      <w:r>
        <w:rPr>
          <w:rFonts w:hint="eastAsia" w:ascii="宋体" w:hAnsi="宋体" w:eastAsia="宋体" w:cs="宋体"/>
          <w:b/>
          <w:szCs w:val="21"/>
        </w:rPr>
        <w:t>采购代理服务收费标准（按计价格（2002）1980号）如下表所示。</w:t>
      </w:r>
    </w:p>
    <w:tbl>
      <w:tblPr>
        <w:tblStyle w:val="22"/>
        <w:tblW w:w="3881"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96"/>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96" w:type="dxa"/>
            <w:vAlign w:val="center"/>
          </w:tcPr>
          <w:p>
            <w:pPr>
              <w:widowControl/>
              <w:spacing w:before="100" w:beforeAutospacing="1" w:after="100" w:afterAutospacing="1"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中标金额（万元）</w:t>
            </w:r>
          </w:p>
        </w:tc>
        <w:tc>
          <w:tcPr>
            <w:tcW w:w="3809" w:type="dxa"/>
            <w:vAlign w:val="center"/>
          </w:tcPr>
          <w:p>
            <w:pPr>
              <w:widowControl/>
              <w:spacing w:before="100" w:beforeAutospacing="1" w:after="100" w:afterAutospacing="1" w:line="240" w:lineRule="exact"/>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96" w:type="dxa"/>
            <w:vAlign w:val="center"/>
          </w:tcPr>
          <w:p>
            <w:pPr>
              <w:widowControl/>
              <w:spacing w:before="100" w:beforeAutospacing="1" w:after="100" w:afterAutospacing="1"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100以下</w:t>
            </w:r>
          </w:p>
        </w:tc>
        <w:tc>
          <w:tcPr>
            <w:tcW w:w="3809" w:type="dxa"/>
            <w:vAlign w:val="center"/>
          </w:tcPr>
          <w:p>
            <w:pPr>
              <w:widowControl/>
              <w:spacing w:before="100" w:beforeAutospacing="1" w:after="100" w:afterAutospacing="1" w:line="240" w:lineRule="exact"/>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96" w:type="dxa"/>
            <w:vAlign w:val="center"/>
          </w:tcPr>
          <w:p>
            <w:pPr>
              <w:widowControl/>
              <w:spacing w:before="100" w:beforeAutospacing="1" w:after="100" w:afterAutospacing="1"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100—500</w:t>
            </w:r>
          </w:p>
        </w:tc>
        <w:tc>
          <w:tcPr>
            <w:tcW w:w="3809" w:type="dxa"/>
            <w:vAlign w:val="center"/>
          </w:tcPr>
          <w:p>
            <w:pPr>
              <w:widowControl/>
              <w:spacing w:before="100" w:beforeAutospacing="1" w:after="100" w:afterAutospacing="1" w:line="240" w:lineRule="exact"/>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96" w:type="dxa"/>
            <w:vAlign w:val="center"/>
          </w:tcPr>
          <w:p>
            <w:pPr>
              <w:widowControl/>
              <w:spacing w:before="100" w:beforeAutospacing="1" w:after="100" w:afterAutospacing="1"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500—1000</w:t>
            </w:r>
          </w:p>
        </w:tc>
        <w:tc>
          <w:tcPr>
            <w:tcW w:w="3809" w:type="dxa"/>
            <w:vAlign w:val="center"/>
          </w:tcPr>
          <w:p>
            <w:pPr>
              <w:widowControl/>
              <w:spacing w:before="100" w:beforeAutospacing="1" w:after="100" w:afterAutospacing="1" w:line="240" w:lineRule="exact"/>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96" w:type="dxa"/>
            <w:vAlign w:val="center"/>
          </w:tcPr>
          <w:p>
            <w:pPr>
              <w:widowControl/>
              <w:spacing w:before="100" w:beforeAutospacing="1" w:after="100" w:afterAutospacing="1"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1000—5000</w:t>
            </w:r>
          </w:p>
        </w:tc>
        <w:tc>
          <w:tcPr>
            <w:tcW w:w="3809" w:type="dxa"/>
            <w:vAlign w:val="center"/>
          </w:tcPr>
          <w:p>
            <w:pPr>
              <w:widowControl/>
              <w:spacing w:before="100" w:beforeAutospacing="1" w:after="100" w:afterAutospacing="1" w:line="240" w:lineRule="exact"/>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196" w:type="dxa"/>
            <w:vAlign w:val="center"/>
          </w:tcPr>
          <w:p>
            <w:pPr>
              <w:widowControl/>
              <w:spacing w:before="100" w:beforeAutospacing="1" w:after="100" w:afterAutospacing="1"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5000—10000</w:t>
            </w:r>
          </w:p>
        </w:tc>
        <w:tc>
          <w:tcPr>
            <w:tcW w:w="3809" w:type="dxa"/>
            <w:vAlign w:val="center"/>
          </w:tcPr>
          <w:p>
            <w:pPr>
              <w:widowControl/>
              <w:spacing w:before="100" w:beforeAutospacing="1" w:after="100" w:afterAutospacing="1" w:line="240" w:lineRule="exact"/>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0.1％</w:t>
            </w:r>
          </w:p>
        </w:tc>
      </w:tr>
    </w:tbl>
    <w:p>
      <w:pPr>
        <w:tabs>
          <w:tab w:val="left" w:pos="2800"/>
        </w:tabs>
        <w:autoSpaceDE w:val="0"/>
        <w:autoSpaceDN w:val="0"/>
        <w:ind w:firstLine="420" w:firstLineChars="200"/>
        <w:rPr>
          <w:rFonts w:ascii="宋体" w:hAnsi="宋体" w:eastAsia="宋体" w:cs="宋体"/>
          <w:szCs w:val="21"/>
        </w:rPr>
      </w:pPr>
      <w:r>
        <w:rPr>
          <w:rFonts w:hint="eastAsia" w:ascii="宋体" w:hAnsi="宋体" w:eastAsia="宋体" w:cs="宋体"/>
          <w:szCs w:val="21"/>
        </w:rPr>
        <w:t>本项目为服务项目，采购代理服务费收取计算举例说明如下：</w:t>
      </w:r>
    </w:p>
    <w:p>
      <w:pPr>
        <w:tabs>
          <w:tab w:val="left" w:pos="2800"/>
        </w:tabs>
        <w:autoSpaceDE w:val="0"/>
        <w:autoSpaceDN w:val="0"/>
        <w:ind w:firstLine="420" w:firstLineChars="200"/>
        <w:rPr>
          <w:rFonts w:ascii="宋体" w:hAnsi="宋体" w:eastAsia="宋体" w:cs="宋体"/>
          <w:szCs w:val="21"/>
        </w:rPr>
      </w:pPr>
      <w:r>
        <w:rPr>
          <w:rFonts w:hint="eastAsia" w:ascii="宋体" w:hAnsi="宋体" w:eastAsia="宋体" w:cs="宋体"/>
          <w:szCs w:val="21"/>
        </w:rPr>
        <w:t>例如：服务项目采购的中标金额为395万元，计算采购代理服务费如下：</w:t>
      </w:r>
    </w:p>
    <w:p>
      <w:pPr>
        <w:tabs>
          <w:tab w:val="left" w:pos="2800"/>
        </w:tabs>
        <w:autoSpaceDE w:val="0"/>
        <w:autoSpaceDN w:val="0"/>
        <w:ind w:firstLine="420" w:firstLineChars="200"/>
        <w:rPr>
          <w:rFonts w:ascii="宋体" w:hAnsi="宋体" w:eastAsia="宋体" w:cs="宋体"/>
          <w:szCs w:val="21"/>
        </w:rPr>
      </w:pPr>
      <w:r>
        <w:rPr>
          <w:rFonts w:hint="eastAsia" w:ascii="宋体" w:hAnsi="宋体" w:eastAsia="宋体" w:cs="宋体"/>
          <w:szCs w:val="21"/>
        </w:rPr>
        <w:t>100（万元）×1.5% = 1.5（万元）</w:t>
      </w:r>
    </w:p>
    <w:p>
      <w:pPr>
        <w:tabs>
          <w:tab w:val="left" w:pos="2800"/>
        </w:tabs>
        <w:autoSpaceDE w:val="0"/>
        <w:autoSpaceDN w:val="0"/>
        <w:ind w:firstLine="420" w:firstLineChars="200"/>
        <w:rPr>
          <w:rFonts w:ascii="宋体" w:hAnsi="宋体" w:eastAsia="宋体" w:cs="宋体"/>
          <w:szCs w:val="21"/>
        </w:rPr>
      </w:pPr>
      <w:r>
        <w:rPr>
          <w:rFonts w:hint="eastAsia" w:ascii="宋体" w:hAnsi="宋体" w:eastAsia="宋体" w:cs="宋体"/>
          <w:szCs w:val="21"/>
        </w:rPr>
        <w:t>（395-100）（万元）×0.80% = 2.36（万元）</w:t>
      </w:r>
    </w:p>
    <w:p>
      <w:pPr>
        <w:tabs>
          <w:tab w:val="left" w:pos="2800"/>
        </w:tabs>
        <w:autoSpaceDE w:val="0"/>
        <w:autoSpaceDN w:val="0"/>
        <w:ind w:firstLine="420" w:firstLineChars="200"/>
        <w:jc w:val="left"/>
        <w:rPr>
          <w:rFonts w:ascii="宋体" w:hAnsi="宋体" w:eastAsia="宋体" w:cs="宋体"/>
          <w:szCs w:val="21"/>
        </w:rPr>
      </w:pPr>
      <w:r>
        <w:rPr>
          <w:rFonts w:hint="eastAsia" w:ascii="宋体" w:hAnsi="宋体" w:eastAsia="宋体" w:cs="宋体"/>
          <w:szCs w:val="21"/>
        </w:rPr>
        <w:t>合计收费 = 1.5 + 2.36 = 3.86（万元）</w:t>
      </w:r>
    </w:p>
    <w:p>
      <w:pPr>
        <w:numPr>
          <w:ilvl w:val="0"/>
          <w:numId w:val="23"/>
        </w:numPr>
        <w:ind w:left="538" w:leftChars="256"/>
        <w:rPr>
          <w:rFonts w:ascii="宋体" w:hAnsi="宋体" w:eastAsia="宋体" w:cs="宋体"/>
          <w:b/>
          <w:sz w:val="22"/>
        </w:rPr>
      </w:pPr>
      <w:r>
        <w:rPr>
          <w:rFonts w:hint="eastAsia" w:ascii="宋体" w:hAnsi="宋体" w:eastAsia="宋体" w:cs="宋体"/>
          <w:b/>
          <w:sz w:val="22"/>
        </w:rPr>
        <w:t>代理服务费汇入以下账号：</w:t>
      </w:r>
    </w:p>
    <w:p>
      <w:pPr>
        <w:ind w:left="538" w:leftChars="256" w:firstLine="442" w:firstLineChars="200"/>
        <w:rPr>
          <w:rFonts w:ascii="宋体" w:hAnsi="宋体" w:eastAsia="宋体" w:cs="宋体"/>
          <w:b/>
          <w:sz w:val="22"/>
        </w:rPr>
      </w:pPr>
      <w:r>
        <w:rPr>
          <w:rFonts w:hint="eastAsia" w:ascii="宋体" w:hAnsi="宋体" w:eastAsia="宋体" w:cs="宋体"/>
          <w:b/>
          <w:sz w:val="22"/>
        </w:rPr>
        <w:t>开户银行：工商银行杭州市武林支行</w:t>
      </w:r>
    </w:p>
    <w:p>
      <w:pPr>
        <w:ind w:left="538" w:leftChars="256" w:firstLine="442" w:firstLineChars="200"/>
        <w:rPr>
          <w:rFonts w:ascii="宋体" w:hAnsi="宋体" w:eastAsia="宋体" w:cs="宋体"/>
          <w:b/>
          <w:sz w:val="22"/>
        </w:rPr>
      </w:pPr>
      <w:r>
        <w:rPr>
          <w:rFonts w:hint="eastAsia" w:ascii="宋体" w:hAnsi="宋体" w:eastAsia="宋体" w:cs="宋体"/>
          <w:b/>
          <w:sz w:val="22"/>
        </w:rPr>
        <w:t>开户名称：浙江国际招（投）标公司</w:t>
      </w:r>
    </w:p>
    <w:p>
      <w:pPr>
        <w:ind w:left="538" w:leftChars="256" w:firstLine="442" w:firstLineChars="200"/>
        <w:rPr>
          <w:rFonts w:ascii="宋体" w:hAnsi="宋体" w:eastAsia="宋体" w:cs="宋体"/>
          <w:b/>
          <w:sz w:val="22"/>
        </w:rPr>
      </w:pPr>
      <w:r>
        <w:rPr>
          <w:rFonts w:hint="eastAsia" w:ascii="宋体" w:hAnsi="宋体" w:eastAsia="宋体" w:cs="宋体"/>
          <w:b/>
          <w:sz w:val="22"/>
        </w:rPr>
        <w:t>开户账号：1202021209906782015</w:t>
      </w:r>
    </w:p>
    <w:p>
      <w:pPr>
        <w:ind w:left="538" w:leftChars="256"/>
      </w:pPr>
      <w:r>
        <w:rPr>
          <w:rFonts w:hint="eastAsia" w:ascii="宋体" w:hAnsi="宋体" w:eastAsia="宋体" w:cs="宋体"/>
          <w:b/>
          <w:sz w:val="22"/>
        </w:rPr>
        <w:t>采购代理服务费可以是现金、支票或汇票。</w:t>
      </w:r>
    </w:p>
    <w:p>
      <w:pPr>
        <w:numPr>
          <w:ilvl w:val="0"/>
          <w:numId w:val="3"/>
        </w:numPr>
        <w:tabs>
          <w:tab w:val="left" w:pos="540"/>
          <w:tab w:val="left" w:pos="900"/>
        </w:tabs>
        <w:ind w:left="525" w:hanging="525"/>
        <w:rPr>
          <w:rFonts w:ascii="宋体" w:hAnsi="宋体" w:eastAsia="宋体" w:cs="宋体"/>
          <w:sz w:val="22"/>
        </w:rPr>
      </w:pPr>
      <w:r>
        <w:rPr>
          <w:rFonts w:hint="eastAsia" w:ascii="宋体" w:hAnsi="宋体" w:eastAsia="宋体" w:cs="宋体"/>
          <w:sz w:val="22"/>
        </w:rPr>
        <w:t>解释权</w:t>
      </w:r>
    </w:p>
    <w:p>
      <w:pPr>
        <w:autoSpaceDE w:val="0"/>
        <w:autoSpaceDN w:val="0"/>
        <w:adjustRightInd w:val="0"/>
        <w:spacing w:after="120"/>
        <w:ind w:firstLine="220" w:firstLineChars="100"/>
        <w:jc w:val="left"/>
        <w:rPr>
          <w:rFonts w:ascii="宋体" w:hAnsi="宋体" w:eastAsia="宋体" w:cs="宋体"/>
          <w:sz w:val="22"/>
        </w:rPr>
      </w:pPr>
      <w:r>
        <w:rPr>
          <w:rFonts w:hint="eastAsia" w:ascii="宋体" w:hAnsi="宋体" w:eastAsia="宋体" w:cs="宋体"/>
          <w:sz w:val="22"/>
        </w:rPr>
        <w:t>采购文件的解释权均属于温州市交通发展集团有限公司和浙江国际招（投）标公司。</w:t>
      </w:r>
    </w:p>
    <w:p>
      <w:pPr>
        <w:keepNext/>
        <w:spacing w:before="312" w:beforeLines="100"/>
        <w:jc w:val="center"/>
        <w:outlineLvl w:val="0"/>
        <w:rPr>
          <w:rFonts w:ascii="宋体" w:hAnsi="宋体" w:eastAsia="宋体" w:cs="宋体"/>
          <w:b/>
          <w:bCs/>
          <w:sz w:val="36"/>
          <w:szCs w:val="36"/>
        </w:rPr>
      </w:pPr>
      <w:r>
        <w:rPr>
          <w:rFonts w:hint="eastAsia" w:ascii="宋体" w:hAnsi="宋体" w:eastAsia="宋体" w:cs="宋体"/>
          <w:b/>
          <w:bCs/>
          <w:sz w:val="36"/>
          <w:szCs w:val="36"/>
        </w:rPr>
        <w:br w:type="page"/>
      </w:r>
      <w:bookmarkStart w:id="170" w:name="_Toc491780524"/>
      <w:r>
        <w:rPr>
          <w:rFonts w:hint="eastAsia" w:ascii="宋体" w:hAnsi="宋体" w:eastAsia="宋体" w:cs="宋体"/>
          <w:b/>
          <w:bCs/>
          <w:sz w:val="36"/>
          <w:szCs w:val="36"/>
        </w:rPr>
        <w:t>第二部分 合同条款</w:t>
      </w:r>
      <w:bookmarkEnd w:id="170"/>
    </w:p>
    <w:bookmarkEnd w:id="160"/>
    <w:bookmarkEnd w:id="161"/>
    <w:bookmarkEnd w:id="162"/>
    <w:bookmarkEnd w:id="163"/>
    <w:bookmarkEnd w:id="164"/>
    <w:bookmarkEnd w:id="165"/>
    <w:bookmarkEnd w:id="166"/>
    <w:bookmarkEnd w:id="167"/>
    <w:bookmarkEnd w:id="168"/>
    <w:bookmarkEnd w:id="169"/>
    <w:p>
      <w:pPr>
        <w:rPr>
          <w:rFonts w:ascii="宋体" w:hAnsi="宋体" w:eastAsia="宋体" w:cs="宋体"/>
          <w:szCs w:val="21"/>
        </w:rPr>
      </w:pPr>
      <w:bookmarkStart w:id="171" w:name="_Toc215415537"/>
      <w:bookmarkStart w:id="172" w:name="_Toc217460692"/>
      <w:bookmarkStart w:id="173" w:name="_Toc223717611"/>
      <w:bookmarkStart w:id="174" w:name="_Toc219538620"/>
      <w:bookmarkStart w:id="175" w:name="_Toc223933228"/>
      <w:bookmarkStart w:id="176" w:name="_Toc227057040"/>
      <w:bookmarkStart w:id="177" w:name="_Toc227489894"/>
      <w:bookmarkStart w:id="178" w:name="_Toc227056853"/>
      <w:bookmarkStart w:id="179" w:name="_Toc216667827"/>
      <w:bookmarkStart w:id="180" w:name="_Toc218041733"/>
      <w:bookmarkStart w:id="181" w:name="_Toc216667828"/>
      <w:bookmarkStart w:id="182" w:name="_Toc218041734"/>
      <w:bookmarkStart w:id="183" w:name="_Toc217460693"/>
      <w:bookmarkStart w:id="184" w:name="_Toc227057041"/>
      <w:bookmarkStart w:id="185" w:name="_Toc223717612"/>
      <w:bookmarkStart w:id="186" w:name="_Toc215415538"/>
      <w:bookmarkStart w:id="187" w:name="_Toc219538621"/>
      <w:bookmarkStart w:id="188" w:name="_Toc227056854"/>
      <w:bookmarkStart w:id="189" w:name="_Toc227489895"/>
      <w:bookmarkStart w:id="190" w:name="_Toc223933229"/>
    </w:p>
    <w:p>
      <w:pPr>
        <w:ind w:firstLine="420" w:firstLineChars="200"/>
        <w:rPr>
          <w:rFonts w:ascii="宋体" w:hAnsi="宋体" w:eastAsia="宋体" w:cs="宋体"/>
          <w:szCs w:val="21"/>
        </w:rPr>
      </w:pPr>
      <w:r>
        <w:rPr>
          <w:rFonts w:hint="eastAsia" w:ascii="宋体" w:hAnsi="宋体" w:eastAsia="宋体" w:cs="宋体"/>
          <w:szCs w:val="21"/>
        </w:rPr>
        <w:t>注：如甲、乙双方同意，合同格式也可以按照其他形式, 具体条款以甲方为主协商确定。但合同条款的基本内容应与以下要求的内容相一致。</w:t>
      </w:r>
    </w:p>
    <w:p>
      <w:pPr>
        <w:rPr>
          <w:rFonts w:ascii="宋体" w:hAnsi="宋体" w:eastAsia="宋体" w:cs="宋体"/>
          <w:szCs w:val="21"/>
        </w:rPr>
      </w:pPr>
      <w:r>
        <w:rPr>
          <w:rFonts w:hint="eastAsia" w:ascii="宋体" w:hAnsi="宋体" w:eastAsia="宋体" w:cs="宋体"/>
          <w:b/>
          <w:bCs/>
          <w:sz w:val="28"/>
          <w:szCs w:val="28"/>
        </w:rPr>
        <w:t xml:space="preserve"> </w:t>
      </w:r>
    </w:p>
    <w:p>
      <w:pPr>
        <w:jc w:val="center"/>
        <w:rPr>
          <w:rFonts w:ascii="宋体" w:hAnsi="宋体" w:eastAsia="宋体" w:cs="宋体"/>
          <w:szCs w:val="21"/>
        </w:rPr>
      </w:pPr>
      <w:r>
        <w:rPr>
          <w:rFonts w:hint="eastAsia" w:ascii="宋体" w:hAnsi="宋体" w:eastAsia="宋体" w:cs="宋体"/>
          <w:szCs w:val="21"/>
        </w:rPr>
        <w:t>（1）合同主要条款</w:t>
      </w:r>
    </w:p>
    <w:p>
      <w:pPr>
        <w:pStyle w:val="11"/>
        <w:snapToGrid w:val="0"/>
        <w:jc w:val="both"/>
        <w:rPr>
          <w:rFonts w:ascii="宋体" w:hAnsi="宋体" w:eastAsia="宋体" w:cs="宋体"/>
          <w:kern w:val="2"/>
        </w:rPr>
      </w:pPr>
    </w:p>
    <w:p>
      <w:pPr>
        <w:rPr>
          <w:rFonts w:ascii="宋体" w:hAnsi="宋体" w:eastAsia="宋体" w:cs="宋体"/>
          <w:b/>
          <w:szCs w:val="21"/>
        </w:rPr>
      </w:pPr>
    </w:p>
    <w:p>
      <w:pPr>
        <w:adjustRightInd w:val="0"/>
        <w:jc w:val="center"/>
        <w:rPr>
          <w:rFonts w:ascii="宋体" w:hAnsi="宋体" w:eastAsia="宋体" w:cs="宋体"/>
          <w:b/>
          <w:bCs/>
          <w:szCs w:val="21"/>
        </w:rPr>
      </w:pPr>
      <w:r>
        <w:rPr>
          <w:rFonts w:hint="eastAsia" w:ascii="宋体" w:hAnsi="宋体" w:eastAsia="宋体" w:cs="宋体"/>
          <w:b/>
          <w:bCs/>
          <w:szCs w:val="21"/>
        </w:rPr>
        <w:t>温州市交通发展集团有限公司</w:t>
      </w:r>
    </w:p>
    <w:p>
      <w:pPr>
        <w:jc w:val="center"/>
        <w:rPr>
          <w:rFonts w:ascii="宋体" w:hAnsi="宋体" w:eastAsia="宋体" w:cs="宋体"/>
          <w:b/>
          <w:szCs w:val="21"/>
        </w:rPr>
      </w:pPr>
    </w:p>
    <w:p>
      <w:pPr>
        <w:jc w:val="center"/>
        <w:rPr>
          <w:rFonts w:ascii="宋体" w:hAnsi="宋体" w:eastAsia="宋体" w:cs="宋体"/>
          <w:b/>
          <w:szCs w:val="21"/>
        </w:rPr>
      </w:pPr>
      <w:r>
        <w:rPr>
          <w:rFonts w:hint="eastAsia" w:ascii="宋体" w:hAnsi="宋体" w:eastAsia="宋体" w:cs="宋体"/>
          <w:b/>
          <w:szCs w:val="21"/>
        </w:rPr>
        <w:t>数字化平台项目</w:t>
      </w:r>
    </w:p>
    <w:p>
      <w:pPr>
        <w:ind w:left="-359" w:leftChars="-171" w:right="-328" w:rightChars="-156"/>
        <w:jc w:val="center"/>
        <w:rPr>
          <w:rFonts w:ascii="宋体" w:hAnsi="宋体" w:eastAsia="宋体" w:cs="宋体"/>
          <w:b/>
          <w:szCs w:val="21"/>
        </w:rPr>
      </w:pPr>
    </w:p>
    <w:p>
      <w:pPr>
        <w:ind w:left="-359" w:leftChars="-171" w:right="-328" w:rightChars="-156"/>
        <w:jc w:val="center"/>
        <w:rPr>
          <w:rFonts w:ascii="宋体" w:hAnsi="宋体" w:eastAsia="宋体" w:cs="宋体"/>
          <w:b/>
          <w:szCs w:val="21"/>
        </w:rPr>
      </w:pPr>
      <w:r>
        <w:rPr>
          <w:rFonts w:hint="eastAsia" w:ascii="宋体" w:hAnsi="宋体" w:eastAsia="宋体" w:cs="宋体"/>
          <w:b/>
          <w:szCs w:val="21"/>
        </w:rPr>
        <w:t>合 同 书</w:t>
      </w:r>
    </w:p>
    <w:p>
      <w:pPr>
        <w:pStyle w:val="11"/>
        <w:jc w:val="center"/>
        <w:rPr>
          <w:rFonts w:ascii="宋体" w:hAnsi="宋体" w:eastAsia="宋体" w:cs="宋体"/>
          <w:b/>
        </w:rPr>
      </w:pPr>
    </w:p>
    <w:p>
      <w:pPr>
        <w:pStyle w:val="11"/>
        <w:jc w:val="center"/>
        <w:rPr>
          <w:rFonts w:ascii="宋体" w:hAnsi="宋体" w:eastAsia="宋体" w:cs="宋体"/>
          <w:b/>
        </w:rPr>
      </w:pPr>
    </w:p>
    <w:p>
      <w:pPr>
        <w:pStyle w:val="11"/>
        <w:jc w:val="center"/>
        <w:rPr>
          <w:rFonts w:ascii="宋体" w:hAnsi="宋体" w:eastAsia="宋体" w:cs="宋体"/>
          <w:b/>
        </w:rPr>
      </w:pPr>
    </w:p>
    <w:p>
      <w:pPr>
        <w:pStyle w:val="11"/>
        <w:rPr>
          <w:rFonts w:ascii="宋体" w:hAnsi="宋体" w:eastAsia="宋体" w:cs="宋体"/>
        </w:rPr>
      </w:pPr>
    </w:p>
    <w:p>
      <w:pPr>
        <w:ind w:firstLine="1265" w:firstLineChars="600"/>
        <w:rPr>
          <w:rFonts w:ascii="宋体" w:hAnsi="宋体" w:eastAsia="宋体" w:cs="宋体"/>
          <w:b/>
          <w:szCs w:val="21"/>
        </w:rPr>
      </w:pPr>
      <w:r>
        <w:rPr>
          <w:rFonts w:hint="eastAsia" w:ascii="宋体" w:hAnsi="宋体" w:eastAsia="宋体" w:cs="宋体"/>
          <w:b/>
          <w:szCs w:val="21"/>
        </w:rPr>
        <w:t>甲方：</w:t>
      </w:r>
    </w:p>
    <w:p>
      <w:pPr>
        <w:ind w:firstLine="1265" w:firstLineChars="600"/>
        <w:rPr>
          <w:rFonts w:ascii="宋体" w:hAnsi="宋体" w:eastAsia="宋体" w:cs="宋体"/>
          <w:b/>
          <w:szCs w:val="21"/>
        </w:rPr>
      </w:pPr>
      <w:r>
        <w:rPr>
          <w:rFonts w:hint="eastAsia" w:ascii="宋体" w:hAnsi="宋体" w:eastAsia="宋体" w:cs="宋体"/>
          <w:b/>
          <w:szCs w:val="21"/>
        </w:rPr>
        <w:t>乙方：</w:t>
      </w:r>
    </w:p>
    <w:p>
      <w:pPr>
        <w:jc w:val="center"/>
        <w:rPr>
          <w:rFonts w:ascii="宋体" w:hAnsi="宋体" w:eastAsia="宋体" w:cs="宋体"/>
          <w:b/>
          <w:szCs w:val="21"/>
        </w:rPr>
      </w:pPr>
    </w:p>
    <w:p>
      <w:pPr>
        <w:ind w:firstLine="1260" w:firstLineChars="600"/>
        <w:rPr>
          <w:rFonts w:ascii="宋体" w:hAnsi="宋体" w:eastAsia="宋体" w:cs="宋体"/>
          <w:szCs w:val="21"/>
        </w:rPr>
      </w:pPr>
      <w:r>
        <w:rPr>
          <w:rFonts w:hint="eastAsia" w:ascii="宋体" w:hAnsi="宋体" w:eastAsia="宋体" w:cs="宋体"/>
          <w:szCs w:val="21"/>
        </w:rPr>
        <w:t xml:space="preserve">合同签订日期：2021年  月   </w:t>
      </w:r>
    </w:p>
    <w:p>
      <w:pP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sectPr>
          <w:footerReference r:id="rId4" w:type="first"/>
          <w:footerReference r:id="rId3" w:type="default"/>
          <w:pgSz w:w="11906" w:h="16838"/>
          <w:pgMar w:top="1440" w:right="1106" w:bottom="1090" w:left="1797" w:header="851" w:footer="992" w:gutter="0"/>
          <w:cols w:space="720" w:num="1"/>
          <w:titlePg/>
          <w:docGrid w:type="lines" w:linePitch="312" w:charSpace="0"/>
        </w:sectPr>
      </w:pPr>
    </w:p>
    <w:p>
      <w:pPr>
        <w:jc w:val="center"/>
        <w:rPr>
          <w:rFonts w:ascii="宋体" w:hAnsi="宋体" w:eastAsia="宋体" w:cs="宋体"/>
          <w:szCs w:val="21"/>
        </w:rPr>
      </w:pPr>
      <w:r>
        <w:rPr>
          <w:rFonts w:hint="eastAsia" w:ascii="宋体" w:hAnsi="宋体" w:eastAsia="宋体" w:cs="宋体"/>
          <w:szCs w:val="21"/>
        </w:rPr>
        <w:t>目  录</w:t>
      </w:r>
    </w:p>
    <w:p>
      <w:pPr>
        <w:pStyle w:val="17"/>
        <w:tabs>
          <w:tab w:val="right" w:leader="dot" w:pos="8820"/>
          <w:tab w:val="clear" w:pos="9660"/>
        </w:tabs>
        <w:spacing w:line="240" w:lineRule="auto"/>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TOC \o "1-1" \h \z \u </w:instrText>
      </w:r>
      <w:r>
        <w:rPr>
          <w:rFonts w:hint="eastAsia" w:ascii="宋体" w:hAnsi="宋体" w:eastAsia="宋体" w:cs="宋体"/>
          <w:szCs w:val="21"/>
        </w:rPr>
        <w:fldChar w:fldCharType="separate"/>
      </w:r>
      <w:r>
        <w:fldChar w:fldCharType="begin"/>
      </w:r>
      <w:r>
        <w:instrText xml:space="preserve"> HYPERLINK \l "_Toc470191667" </w:instrText>
      </w:r>
      <w:r>
        <w:fldChar w:fldCharType="separate"/>
      </w:r>
      <w:r>
        <w:rPr>
          <w:rStyle w:val="27"/>
          <w:rFonts w:hint="eastAsia" w:ascii="宋体" w:hAnsi="宋体" w:eastAsia="宋体" w:cs="宋体"/>
          <w:color w:val="auto"/>
          <w:szCs w:val="21"/>
        </w:rPr>
        <w:t>1、定义</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"_Toc470191668" </w:instrText>
      </w:r>
      <w:r>
        <w:fldChar w:fldCharType="separate"/>
      </w:r>
      <w:r>
        <w:rPr>
          <w:rStyle w:val="27"/>
          <w:rFonts w:hint="eastAsia" w:ascii="宋体" w:hAnsi="宋体" w:eastAsia="宋体" w:cs="宋体"/>
          <w:color w:val="auto"/>
          <w:szCs w:val="21"/>
        </w:rPr>
        <w:t>2、完成期限、地点、货运单据要求</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"_Toc470191669" </w:instrText>
      </w:r>
      <w:r>
        <w:fldChar w:fldCharType="separate"/>
      </w:r>
      <w:r>
        <w:rPr>
          <w:rStyle w:val="27"/>
          <w:rFonts w:hint="eastAsia" w:ascii="宋体" w:hAnsi="宋体" w:eastAsia="宋体" w:cs="宋体"/>
          <w:color w:val="auto"/>
          <w:szCs w:val="21"/>
        </w:rPr>
        <w:t>3、使用授权</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"_Toc470191670" </w:instrText>
      </w:r>
      <w:r>
        <w:fldChar w:fldCharType="separate"/>
      </w:r>
      <w:r>
        <w:rPr>
          <w:rStyle w:val="27"/>
          <w:rFonts w:hint="eastAsia" w:ascii="宋体" w:hAnsi="宋体" w:eastAsia="宋体" w:cs="宋体"/>
          <w:color w:val="auto"/>
          <w:szCs w:val="21"/>
        </w:rPr>
        <w:t>4、开发服务</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"_Toc470191671" </w:instrText>
      </w:r>
      <w:r>
        <w:fldChar w:fldCharType="separate"/>
      </w:r>
      <w:r>
        <w:rPr>
          <w:rStyle w:val="27"/>
          <w:rFonts w:hint="eastAsia" w:ascii="宋体" w:hAnsi="宋体" w:eastAsia="宋体" w:cs="宋体"/>
          <w:color w:val="auto"/>
          <w:szCs w:val="21"/>
        </w:rPr>
        <w:t>5、免费维护期及维护服务要求</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"_Toc470191674" </w:instrText>
      </w:r>
      <w:r>
        <w:fldChar w:fldCharType="separate"/>
      </w:r>
      <w:r>
        <w:rPr>
          <w:rFonts w:hint="eastAsia" w:ascii="宋体" w:hAnsi="宋体" w:eastAsia="宋体" w:cs="宋体"/>
          <w:szCs w:val="21"/>
        </w:rPr>
        <w:t>6</w:t>
      </w:r>
      <w:r>
        <w:rPr>
          <w:rStyle w:val="27"/>
          <w:rFonts w:hint="eastAsia" w:ascii="宋体" w:hAnsi="宋体" w:eastAsia="宋体" w:cs="宋体"/>
          <w:color w:val="auto"/>
          <w:szCs w:val="21"/>
        </w:rPr>
        <w:t>、培训要求</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"_Toc470191675" </w:instrText>
      </w:r>
      <w:r>
        <w:fldChar w:fldCharType="separate"/>
      </w:r>
      <w:r>
        <w:rPr>
          <w:rFonts w:hint="eastAsia" w:ascii="宋体" w:hAnsi="宋体" w:eastAsia="宋体" w:cs="宋体"/>
          <w:szCs w:val="21"/>
        </w:rPr>
        <w:t>7</w:t>
      </w:r>
      <w:r>
        <w:rPr>
          <w:rStyle w:val="27"/>
          <w:rFonts w:hint="eastAsia" w:ascii="宋体" w:hAnsi="宋体" w:eastAsia="宋体" w:cs="宋体"/>
          <w:color w:val="auto"/>
          <w:szCs w:val="21"/>
        </w:rPr>
        <w:t>、合同价格、支付方式和时间</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"_Toc470191676" </w:instrText>
      </w:r>
      <w:r>
        <w:fldChar w:fldCharType="separate"/>
      </w:r>
      <w:r>
        <w:rPr>
          <w:rFonts w:hint="eastAsia" w:ascii="宋体" w:hAnsi="宋体" w:eastAsia="宋体" w:cs="宋体"/>
          <w:szCs w:val="21"/>
        </w:rPr>
        <w:t>8</w:t>
      </w:r>
      <w:r>
        <w:rPr>
          <w:rStyle w:val="27"/>
          <w:rFonts w:hint="eastAsia" w:ascii="宋体" w:hAnsi="宋体" w:eastAsia="宋体" w:cs="宋体"/>
          <w:color w:val="auto"/>
          <w:szCs w:val="21"/>
        </w:rPr>
        <w:t>、质量要求及技术规格和标准</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"_Toc470191677" </w:instrText>
      </w:r>
      <w:r>
        <w:fldChar w:fldCharType="separate"/>
      </w:r>
      <w:r>
        <w:rPr>
          <w:rFonts w:hint="eastAsia" w:ascii="宋体" w:hAnsi="宋体" w:eastAsia="宋体" w:cs="宋体"/>
          <w:szCs w:val="21"/>
        </w:rPr>
        <w:t>9</w:t>
      </w:r>
      <w:r>
        <w:rPr>
          <w:rStyle w:val="27"/>
          <w:rFonts w:hint="eastAsia" w:ascii="宋体" w:hAnsi="宋体" w:eastAsia="宋体" w:cs="宋体"/>
          <w:color w:val="auto"/>
          <w:szCs w:val="21"/>
        </w:rPr>
        <w:t>、第三方法律纠纷</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"_Toc470191678" </w:instrText>
      </w:r>
      <w:r>
        <w:fldChar w:fldCharType="separate"/>
      </w:r>
      <w:r>
        <w:rPr>
          <w:rStyle w:val="27"/>
          <w:rFonts w:hint="eastAsia" w:ascii="宋体" w:hAnsi="宋体" w:eastAsia="宋体" w:cs="宋体"/>
          <w:color w:val="auto"/>
          <w:szCs w:val="21"/>
        </w:rPr>
        <w:t>10、包装要求</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"_Toc470191679" </w:instrText>
      </w:r>
      <w:r>
        <w:fldChar w:fldCharType="separate"/>
      </w:r>
      <w:r>
        <w:rPr>
          <w:rStyle w:val="27"/>
          <w:rFonts w:hint="eastAsia" w:ascii="宋体" w:hAnsi="宋体" w:eastAsia="宋体" w:cs="宋体"/>
          <w:color w:val="auto"/>
          <w:szCs w:val="21"/>
        </w:rPr>
        <w:t>11、技术资料</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"_Toc470191681" </w:instrText>
      </w:r>
      <w:r>
        <w:fldChar w:fldCharType="separate"/>
      </w:r>
      <w:r>
        <w:rPr>
          <w:rStyle w:val="27"/>
          <w:rFonts w:hint="eastAsia" w:ascii="宋体" w:hAnsi="宋体" w:eastAsia="宋体" w:cs="宋体"/>
          <w:color w:val="auto"/>
          <w:szCs w:val="21"/>
        </w:rPr>
        <w:t>12、税费</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"_Toc470191682" </w:instrText>
      </w:r>
      <w:r>
        <w:fldChar w:fldCharType="separate"/>
      </w:r>
      <w:r>
        <w:rPr>
          <w:rStyle w:val="27"/>
          <w:rFonts w:hint="eastAsia" w:ascii="宋体" w:hAnsi="宋体" w:eastAsia="宋体" w:cs="宋体"/>
          <w:color w:val="auto"/>
          <w:szCs w:val="21"/>
        </w:rPr>
        <w:t>13、</w:t>
      </w:r>
      <w:r>
        <w:rPr>
          <w:rFonts w:hint="eastAsia" w:ascii="宋体" w:hAnsi="宋体" w:eastAsia="宋体" w:cs="宋体"/>
          <w:szCs w:val="21"/>
        </w:rPr>
        <w:t>责任与权力</w:t>
      </w:r>
      <w:r>
        <w:rPr>
          <w:rFonts w:hint="eastAsia" w:ascii="宋体" w:hAnsi="宋体" w:eastAsia="宋体" w:cs="宋体"/>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"_Toc470191683" </w:instrText>
      </w:r>
      <w:r>
        <w:fldChar w:fldCharType="separate"/>
      </w:r>
      <w:r>
        <w:rPr>
          <w:rStyle w:val="27"/>
          <w:rFonts w:hint="eastAsia" w:ascii="宋体" w:hAnsi="宋体" w:eastAsia="宋体" w:cs="宋体"/>
          <w:color w:val="auto"/>
          <w:szCs w:val="21"/>
        </w:rPr>
        <w:t>14、合同变更、修改</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"_Toc470191684" </w:instrText>
      </w:r>
      <w:r>
        <w:fldChar w:fldCharType="separate"/>
      </w:r>
      <w:r>
        <w:rPr>
          <w:rStyle w:val="27"/>
          <w:rFonts w:hint="eastAsia" w:ascii="宋体" w:hAnsi="宋体" w:eastAsia="宋体" w:cs="宋体"/>
          <w:color w:val="auto"/>
          <w:szCs w:val="21"/>
        </w:rPr>
        <w:t>15、合同义务的转让</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"_Toc470191685" </w:instrText>
      </w:r>
      <w:r>
        <w:fldChar w:fldCharType="separate"/>
      </w:r>
      <w:r>
        <w:rPr>
          <w:rStyle w:val="27"/>
          <w:rFonts w:hint="eastAsia" w:ascii="宋体" w:hAnsi="宋体" w:eastAsia="宋体" w:cs="宋体"/>
          <w:color w:val="auto"/>
          <w:szCs w:val="21"/>
        </w:rPr>
        <w:t>16、违约责任</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"_Toc470191686" </w:instrText>
      </w:r>
      <w:r>
        <w:fldChar w:fldCharType="separate"/>
      </w:r>
      <w:r>
        <w:rPr>
          <w:rFonts w:hint="eastAsia" w:ascii="宋体" w:hAnsi="宋体" w:eastAsia="宋体" w:cs="宋体"/>
          <w:szCs w:val="21"/>
        </w:rPr>
        <w:t>17</w:t>
      </w:r>
      <w:r>
        <w:rPr>
          <w:rStyle w:val="27"/>
          <w:rFonts w:hint="eastAsia" w:ascii="宋体" w:hAnsi="宋体" w:eastAsia="宋体" w:cs="宋体"/>
          <w:color w:val="auto"/>
          <w:szCs w:val="21"/>
        </w:rPr>
        <w:t>、不可抗力</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"_Toc470191687" </w:instrText>
      </w:r>
      <w:r>
        <w:fldChar w:fldCharType="separate"/>
      </w:r>
      <w:r>
        <w:rPr>
          <w:rFonts w:hint="eastAsia" w:ascii="宋体" w:hAnsi="宋体" w:eastAsia="宋体" w:cs="宋体"/>
          <w:szCs w:val="21"/>
        </w:rPr>
        <w:t>18</w:t>
      </w:r>
      <w:r>
        <w:rPr>
          <w:rStyle w:val="27"/>
          <w:rFonts w:hint="eastAsia" w:ascii="宋体" w:hAnsi="宋体" w:eastAsia="宋体" w:cs="宋体"/>
          <w:color w:val="auto"/>
          <w:szCs w:val="21"/>
        </w:rPr>
        <w:t>、争议的解决</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"_Toc470191688" </w:instrText>
      </w:r>
      <w:r>
        <w:fldChar w:fldCharType="separate"/>
      </w:r>
      <w:r>
        <w:rPr>
          <w:rFonts w:hint="eastAsia" w:ascii="宋体" w:hAnsi="宋体" w:eastAsia="宋体" w:cs="宋体"/>
          <w:szCs w:val="21"/>
        </w:rPr>
        <w:t>19</w:t>
      </w:r>
      <w:r>
        <w:rPr>
          <w:rStyle w:val="27"/>
          <w:rFonts w:hint="eastAsia" w:ascii="宋体" w:hAnsi="宋体" w:eastAsia="宋体" w:cs="宋体"/>
          <w:color w:val="auto"/>
          <w:szCs w:val="21"/>
        </w:rPr>
        <w:t>、适用法律</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"_Toc470191689" </w:instrText>
      </w:r>
      <w:r>
        <w:fldChar w:fldCharType="separate"/>
      </w:r>
      <w:r>
        <w:rPr>
          <w:rStyle w:val="27"/>
          <w:rFonts w:hint="eastAsia" w:ascii="宋体" w:hAnsi="宋体" w:eastAsia="宋体" w:cs="宋体"/>
          <w:color w:val="auto"/>
          <w:szCs w:val="21"/>
        </w:rPr>
        <w:t>20、语言和计量单位</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"_Toc470191690" </w:instrText>
      </w:r>
      <w:r>
        <w:fldChar w:fldCharType="separate"/>
      </w:r>
      <w:r>
        <w:rPr>
          <w:rStyle w:val="27"/>
          <w:rFonts w:hint="eastAsia" w:ascii="宋体" w:hAnsi="宋体" w:eastAsia="宋体" w:cs="宋体"/>
          <w:color w:val="auto"/>
          <w:szCs w:val="21"/>
        </w:rPr>
        <w:t>21、通知</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"_Toc470191691" </w:instrText>
      </w:r>
      <w:r>
        <w:fldChar w:fldCharType="separate"/>
      </w:r>
      <w:r>
        <w:rPr>
          <w:rStyle w:val="27"/>
          <w:rFonts w:hint="eastAsia" w:ascii="宋体" w:hAnsi="宋体" w:eastAsia="宋体" w:cs="宋体"/>
          <w:color w:val="auto"/>
          <w:szCs w:val="21"/>
        </w:rPr>
        <w:t>22、合同文件及资料的使用</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"_Toc470191692" </w:instrText>
      </w:r>
      <w:r>
        <w:fldChar w:fldCharType="separate"/>
      </w:r>
      <w:r>
        <w:rPr>
          <w:rStyle w:val="27"/>
          <w:rFonts w:hint="eastAsia" w:ascii="宋体" w:hAnsi="宋体" w:eastAsia="宋体" w:cs="宋体"/>
          <w:color w:val="auto"/>
          <w:szCs w:val="21"/>
        </w:rPr>
        <w:t>23、知识产权</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"_Toc470191693" </w:instrText>
      </w:r>
      <w:r>
        <w:fldChar w:fldCharType="separate"/>
      </w:r>
      <w:r>
        <w:rPr>
          <w:rStyle w:val="27"/>
          <w:rFonts w:hint="eastAsia" w:ascii="宋体" w:hAnsi="宋体" w:eastAsia="宋体" w:cs="宋体"/>
          <w:color w:val="auto"/>
          <w:szCs w:val="21"/>
        </w:rPr>
        <w:t>24、合同的生效及其它</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"_Toc470191694" </w:instrText>
      </w:r>
      <w:r>
        <w:fldChar w:fldCharType="separate"/>
      </w:r>
      <w:r>
        <w:rPr>
          <w:rStyle w:val="27"/>
          <w:rFonts w:hint="eastAsia" w:ascii="宋体" w:hAnsi="宋体" w:eastAsia="宋体" w:cs="宋体"/>
          <w:color w:val="auto"/>
          <w:szCs w:val="21"/>
        </w:rPr>
        <w:t>25、项目成果的提交、验收和鉴定</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"_Toc470191695" </w:instrText>
      </w:r>
      <w:r>
        <w:fldChar w:fldCharType="separate"/>
      </w:r>
      <w:r>
        <w:rPr>
          <w:rFonts w:hint="eastAsia" w:ascii="宋体" w:hAnsi="宋体" w:eastAsia="宋体" w:cs="宋体"/>
          <w:szCs w:val="21"/>
        </w:rPr>
        <w:t>28</w:t>
      </w:r>
      <w:r>
        <w:rPr>
          <w:rStyle w:val="27"/>
          <w:rFonts w:hint="eastAsia" w:ascii="宋体" w:hAnsi="宋体" w:eastAsia="宋体" w:cs="宋体"/>
          <w:color w:val="auto"/>
          <w:szCs w:val="21"/>
        </w:rPr>
        <w:t>、安全保密</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"_Toc470191696" </w:instrText>
      </w:r>
      <w:r>
        <w:fldChar w:fldCharType="separate"/>
      </w:r>
      <w:r>
        <w:rPr>
          <w:rFonts w:hint="eastAsia" w:ascii="宋体" w:hAnsi="宋体" w:eastAsia="宋体" w:cs="宋体"/>
          <w:szCs w:val="21"/>
        </w:rPr>
        <w:t>27</w:t>
      </w:r>
      <w:r>
        <w:rPr>
          <w:rStyle w:val="27"/>
          <w:rFonts w:hint="eastAsia" w:ascii="宋体" w:hAnsi="宋体" w:eastAsia="宋体" w:cs="宋体"/>
          <w:color w:val="auto"/>
          <w:szCs w:val="21"/>
        </w:rPr>
        <w:t>、法定地址</w:t>
      </w:r>
      <w:r>
        <w:rPr>
          <w:rStyle w:val="27"/>
          <w:rFonts w:hint="eastAsia" w:ascii="宋体" w:hAnsi="宋体" w:eastAsia="宋体" w:cs="宋体"/>
          <w:color w:val="auto"/>
          <w:szCs w:val="21"/>
        </w:rPr>
        <w:fldChar w:fldCharType="end"/>
      </w:r>
    </w:p>
    <w:p>
      <w:pPr>
        <w:pStyle w:val="17"/>
        <w:tabs>
          <w:tab w:val="right" w:leader="dot" w:pos="8820"/>
          <w:tab w:val="clear" w:pos="9660"/>
        </w:tabs>
        <w:spacing w:line="240" w:lineRule="auto"/>
        <w:rPr>
          <w:rFonts w:ascii="宋体" w:hAnsi="宋体" w:eastAsia="宋体" w:cs="宋体"/>
          <w:szCs w:val="21"/>
        </w:rPr>
      </w:pPr>
      <w:r>
        <w:fldChar w:fldCharType="begin"/>
      </w:r>
      <w:r>
        <w:instrText xml:space="preserve"> HYPERLINK \l "_Toc470191697" </w:instrText>
      </w:r>
      <w:r>
        <w:fldChar w:fldCharType="separate"/>
      </w:r>
      <w:r>
        <w:rPr>
          <w:rStyle w:val="27"/>
          <w:rFonts w:hint="eastAsia" w:ascii="宋体" w:hAnsi="宋体" w:eastAsia="宋体" w:cs="宋体"/>
          <w:color w:val="auto"/>
          <w:szCs w:val="21"/>
        </w:rPr>
        <w:t>附件一：详细价格表</w:t>
      </w:r>
      <w:r>
        <w:rPr>
          <w:rStyle w:val="27"/>
          <w:rFonts w:hint="eastAsia" w:ascii="宋体" w:hAnsi="宋体" w:eastAsia="宋体" w:cs="宋体"/>
          <w:color w:val="auto"/>
          <w:szCs w:val="21"/>
        </w:rPr>
        <w:fldChar w:fldCharType="end"/>
      </w:r>
    </w:p>
    <w:p>
      <w:pPr>
        <w:rPr>
          <w:rFonts w:ascii="宋体" w:hAnsi="宋体" w:eastAsia="宋体" w:cs="宋体"/>
          <w:szCs w:val="21"/>
        </w:rPr>
      </w:pPr>
      <w:r>
        <w:fldChar w:fldCharType="begin"/>
      </w:r>
      <w:r>
        <w:instrText xml:space="preserve"> HYPERLINK \l "_Toc470191698" </w:instrText>
      </w:r>
      <w:r>
        <w:fldChar w:fldCharType="separate"/>
      </w:r>
      <w:r>
        <w:rPr>
          <w:rStyle w:val="27"/>
          <w:rFonts w:hint="eastAsia" w:ascii="宋体" w:hAnsi="宋体" w:eastAsia="宋体" w:cs="宋体"/>
          <w:color w:val="auto"/>
          <w:szCs w:val="21"/>
        </w:rPr>
        <w:t>附件二：技术规范书（详见另册）</w:t>
      </w:r>
      <w:r>
        <w:rPr>
          <w:rStyle w:val="27"/>
          <w:rFonts w:hint="eastAsia" w:ascii="宋体" w:hAnsi="宋体" w:eastAsia="宋体" w:cs="宋体"/>
          <w:color w:val="auto"/>
          <w:szCs w:val="21"/>
        </w:rPr>
        <w:fldChar w:fldCharType="end"/>
      </w:r>
    </w:p>
    <w:p>
      <w:pPr>
        <w:rPr>
          <w:rFonts w:ascii="宋体" w:hAnsi="宋体" w:eastAsia="宋体" w:cs="宋体"/>
          <w:szCs w:val="21"/>
        </w:rPr>
        <w:sectPr>
          <w:headerReference r:id="rId5" w:type="default"/>
          <w:footerReference r:id="rId7" w:type="default"/>
          <w:headerReference r:id="rId6" w:type="even"/>
          <w:pgSz w:w="11906" w:h="16838"/>
          <w:pgMar w:top="1440" w:right="1106" w:bottom="1090" w:left="1797" w:header="851" w:footer="992" w:gutter="0"/>
          <w:cols w:space="720" w:num="1"/>
          <w:docGrid w:type="lines" w:linePitch="326" w:charSpace="0"/>
        </w:sectPr>
      </w:pPr>
      <w:r>
        <w:rPr>
          <w:rFonts w:hint="eastAsia" w:ascii="宋体" w:hAnsi="宋体" w:eastAsia="宋体" w:cs="宋体"/>
          <w:szCs w:val="21"/>
        </w:rPr>
        <w:fldChar w:fldCharType="end"/>
      </w:r>
    </w:p>
    <w:p>
      <w:pPr>
        <w:pStyle w:val="5"/>
        <w:snapToGrid w:val="0"/>
        <w:rPr>
          <w:rFonts w:ascii="宋体" w:hAnsi="宋体" w:eastAsia="宋体" w:cs="宋体"/>
          <w:szCs w:val="21"/>
        </w:rPr>
      </w:pPr>
      <w:bookmarkStart w:id="191" w:name="_Toc470191667"/>
      <w:bookmarkStart w:id="192" w:name="_Toc268531744"/>
      <w:r>
        <w:rPr>
          <w:rFonts w:hint="eastAsia" w:ascii="宋体" w:hAnsi="宋体" w:eastAsia="宋体" w:cs="宋体"/>
          <w:szCs w:val="21"/>
        </w:rPr>
        <w:t>1、定义</w:t>
      </w:r>
      <w:bookmarkEnd w:id="191"/>
      <w:bookmarkEnd w:id="192"/>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“甲方”系指：</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“乙方”系指：</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合同”系指甲方和乙方（以下简称合同双方）已达成的协议，包括与履行本合同有关的采购文件、投标文件、招评标及谈判过程中有关的澄清文件、相关的技术标准和技术规范、中标通知书、及所有的附件、附录等其它文件。下列文件构成整个合同不可分割的整体，各文件相互补充，若有不明确或不一致之处，以下列次序在先者为准。</w:t>
      </w:r>
    </w:p>
    <w:p>
      <w:pPr>
        <w:numPr>
          <w:ilvl w:val="0"/>
          <w:numId w:val="25"/>
        </w:numPr>
        <w:ind w:firstLine="420" w:firstLineChars="200"/>
        <w:rPr>
          <w:rFonts w:ascii="宋体" w:hAnsi="宋体" w:eastAsia="宋体" w:cs="宋体"/>
          <w:kern w:val="0"/>
          <w:szCs w:val="21"/>
        </w:rPr>
      </w:pPr>
      <w:r>
        <w:rPr>
          <w:rFonts w:hint="eastAsia" w:ascii="宋体" w:hAnsi="宋体" w:eastAsia="宋体" w:cs="宋体"/>
          <w:kern w:val="0"/>
          <w:szCs w:val="21"/>
        </w:rPr>
        <w:t>中标通知书；</w:t>
      </w:r>
    </w:p>
    <w:p>
      <w:pPr>
        <w:numPr>
          <w:ilvl w:val="0"/>
          <w:numId w:val="25"/>
        </w:numPr>
        <w:ind w:firstLine="420" w:firstLineChars="200"/>
        <w:rPr>
          <w:rFonts w:ascii="宋体" w:hAnsi="宋体" w:eastAsia="宋体" w:cs="宋体"/>
          <w:kern w:val="0"/>
          <w:szCs w:val="21"/>
        </w:rPr>
      </w:pPr>
      <w:r>
        <w:rPr>
          <w:rFonts w:hint="eastAsia" w:ascii="宋体" w:hAnsi="宋体" w:eastAsia="宋体" w:cs="宋体"/>
          <w:kern w:val="0"/>
          <w:szCs w:val="21"/>
        </w:rPr>
        <w:t>技术规格、商务条款偏离表；</w:t>
      </w:r>
    </w:p>
    <w:p>
      <w:pPr>
        <w:numPr>
          <w:ilvl w:val="0"/>
          <w:numId w:val="25"/>
        </w:numPr>
        <w:ind w:firstLine="420" w:firstLineChars="200"/>
        <w:rPr>
          <w:rFonts w:ascii="宋体" w:hAnsi="宋体" w:eastAsia="宋体" w:cs="宋体"/>
          <w:kern w:val="0"/>
          <w:szCs w:val="21"/>
        </w:rPr>
      </w:pPr>
      <w:r>
        <w:rPr>
          <w:rFonts w:hint="eastAsia" w:ascii="宋体" w:hAnsi="宋体" w:eastAsia="宋体" w:cs="宋体"/>
          <w:kern w:val="0"/>
          <w:szCs w:val="21"/>
        </w:rPr>
        <w:t>合同条款；</w:t>
      </w:r>
    </w:p>
    <w:p>
      <w:pPr>
        <w:numPr>
          <w:ilvl w:val="0"/>
          <w:numId w:val="25"/>
        </w:numPr>
        <w:ind w:firstLine="420" w:firstLineChars="200"/>
        <w:rPr>
          <w:rFonts w:ascii="宋体" w:hAnsi="宋体" w:eastAsia="宋体" w:cs="宋体"/>
          <w:kern w:val="0"/>
          <w:szCs w:val="21"/>
        </w:rPr>
      </w:pPr>
      <w:r>
        <w:rPr>
          <w:rFonts w:hint="eastAsia" w:ascii="宋体" w:hAnsi="宋体" w:eastAsia="宋体" w:cs="宋体"/>
          <w:kern w:val="0"/>
          <w:szCs w:val="21"/>
        </w:rPr>
        <w:t>投标技术和服务响应方案；</w:t>
      </w:r>
    </w:p>
    <w:p>
      <w:pPr>
        <w:numPr>
          <w:ilvl w:val="0"/>
          <w:numId w:val="25"/>
        </w:numPr>
        <w:ind w:firstLine="420" w:firstLineChars="200"/>
        <w:rPr>
          <w:rFonts w:ascii="宋体" w:hAnsi="宋体" w:eastAsia="宋体" w:cs="宋体"/>
          <w:kern w:val="0"/>
          <w:szCs w:val="21"/>
        </w:rPr>
      </w:pPr>
      <w:r>
        <w:rPr>
          <w:rFonts w:hint="eastAsia" w:ascii="宋体" w:hAnsi="宋体" w:eastAsia="宋体" w:cs="宋体"/>
          <w:kern w:val="0"/>
          <w:szCs w:val="21"/>
        </w:rPr>
        <w:t>商定的补充协议或合同期内经双方签署的备忘录；</w:t>
      </w:r>
    </w:p>
    <w:p>
      <w:pPr>
        <w:numPr>
          <w:ilvl w:val="0"/>
          <w:numId w:val="25"/>
        </w:numPr>
        <w:ind w:firstLine="420" w:firstLineChars="200"/>
        <w:rPr>
          <w:rFonts w:ascii="宋体" w:hAnsi="宋体" w:eastAsia="宋体" w:cs="宋体"/>
          <w:szCs w:val="21"/>
        </w:rPr>
      </w:pPr>
      <w:r>
        <w:rPr>
          <w:rFonts w:hint="eastAsia" w:ascii="宋体" w:hAnsi="宋体" w:eastAsia="宋体" w:cs="宋体"/>
          <w:kern w:val="0"/>
          <w:szCs w:val="21"/>
        </w:rPr>
        <w:t>与本合同有关的其他文件（含招投标过程中双方的来往文件）</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“合同价款”系根据合同规定，在乙方保质保量、及时、全面真实地履行合同义务时甲方应支付给乙方的款项。</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“货物”系指乙方按采购文件规定向甲方提供的应用软件系统程序及合法授权，配套提供的技术支持和服务、培训、软件质量管理体系所要求的技术资料、文档、手册等。</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“服务”系指《技术规范书》规定乙方须承担的安装、集成、调试和测试、培训、免费维护期、云资源服务、云安全服务以及其它类似的义务。</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在不特别区分的情况下，“货物”含义包含了“服务”一词定义的内容。</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“现场”系指软件将要进行安装和使用的地点。</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“项目验收”：软件全部功能模块安装、调试完毕，并通过集成调试投入运行，满足本合同《技术规范书》的规定，合同双方依据本合同规定的程序和条件进行的验收为项目验收。</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免费维护期</w:t>
      </w:r>
      <w:r>
        <w:rPr>
          <w:rFonts w:hint="eastAsia" w:ascii="宋体" w:hAnsi="宋体" w:eastAsia="宋体" w:cs="宋体"/>
          <w:szCs w:val="21"/>
        </w:rPr>
        <w:t>”：</w:t>
      </w:r>
      <w:r>
        <w:rPr>
          <w:rFonts w:hint="eastAsia" w:ascii="宋体" w:hAnsi="宋体" w:eastAsia="宋体" w:cs="宋体"/>
          <w:szCs w:val="21"/>
          <w:u w:val="single"/>
        </w:rPr>
        <w:t>▲</w:t>
      </w:r>
      <w:r>
        <w:rPr>
          <w:rFonts w:hint="eastAsia" w:ascii="宋体" w:hAnsi="宋体" w:eastAsia="宋体" w:cs="宋体"/>
          <w:b/>
          <w:bCs/>
          <w:szCs w:val="21"/>
          <w:u w:val="single"/>
        </w:rPr>
        <w:t>签署项目整体验收合格后至少36个月为技术开发产品的免费维护期，乙方投标时有更高承诺标准的，按该承诺执行</w:t>
      </w:r>
      <w:r>
        <w:rPr>
          <w:rFonts w:hint="eastAsia" w:ascii="宋体" w:hAnsi="宋体" w:eastAsia="宋体" w:cs="宋体"/>
          <w:b/>
          <w:bCs/>
          <w:color w:val="FF0000"/>
          <w:szCs w:val="21"/>
        </w:rPr>
        <w:t>。</w:t>
      </w:r>
    </w:p>
    <w:p>
      <w:pPr>
        <w:pStyle w:val="60"/>
        <w:numPr>
          <w:ilvl w:val="1"/>
          <w:numId w:val="24"/>
        </w:numPr>
        <w:tabs>
          <w:tab w:val="left" w:pos="567"/>
          <w:tab w:val="clear" w:pos="1305"/>
        </w:tabs>
        <w:ind w:left="0" w:firstLine="0"/>
        <w:rPr>
          <w:rFonts w:ascii="宋体" w:hAnsi="宋体" w:eastAsia="宋体" w:cs="宋体"/>
          <w:szCs w:val="21"/>
        </w:rPr>
      </w:pPr>
      <w:r>
        <w:rPr>
          <w:rFonts w:hint="eastAsia" w:ascii="宋体" w:hAnsi="宋体" w:eastAsia="宋体" w:cs="宋体"/>
          <w:szCs w:val="21"/>
        </w:rPr>
        <w:t xml:space="preserve"> “天”指日历天数。</w:t>
      </w:r>
      <w:bookmarkStart w:id="193" w:name="_Toc167897182"/>
      <w:bookmarkEnd w:id="193"/>
      <w:bookmarkStart w:id="194" w:name="_Toc168117201"/>
      <w:bookmarkEnd w:id="194"/>
      <w:bookmarkStart w:id="195" w:name="_Toc168116979"/>
      <w:bookmarkEnd w:id="195"/>
      <w:bookmarkStart w:id="196" w:name="_Toc167952190"/>
      <w:bookmarkEnd w:id="196"/>
      <w:bookmarkStart w:id="197" w:name="_Toc168115899"/>
      <w:bookmarkEnd w:id="197"/>
      <w:bookmarkStart w:id="198" w:name="_Toc168116136"/>
      <w:bookmarkEnd w:id="198"/>
      <w:bookmarkStart w:id="199" w:name="_Toc239563525"/>
      <w:bookmarkStart w:id="200" w:name="_Toc239563628"/>
      <w:bookmarkStart w:id="201" w:name="_Toc68495000"/>
      <w:bookmarkStart w:id="202" w:name="_Toc268531745"/>
    </w:p>
    <w:p>
      <w:pPr>
        <w:pStyle w:val="5"/>
        <w:snapToGrid w:val="0"/>
        <w:rPr>
          <w:rFonts w:ascii="宋体" w:hAnsi="宋体" w:eastAsia="宋体" w:cs="宋体"/>
        </w:rPr>
      </w:pPr>
      <w:bookmarkStart w:id="203" w:name="_Toc470191668"/>
      <w:r>
        <w:rPr>
          <w:rFonts w:hint="eastAsia" w:ascii="宋体" w:hAnsi="宋体" w:eastAsia="宋体" w:cs="宋体"/>
          <w:szCs w:val="21"/>
        </w:rPr>
        <w:t>2、完成期限、地点、验收要求</w:t>
      </w:r>
      <w:bookmarkEnd w:id="199"/>
      <w:bookmarkEnd w:id="200"/>
      <w:bookmarkEnd w:id="201"/>
      <w:bookmarkEnd w:id="202"/>
      <w:bookmarkEnd w:id="203"/>
    </w:p>
    <w:p>
      <w:pPr>
        <w:pStyle w:val="60"/>
        <w:tabs>
          <w:tab w:val="left" w:pos="0"/>
          <w:tab w:val="left" w:pos="993"/>
          <w:tab w:val="clear" w:pos="992"/>
        </w:tabs>
        <w:ind w:left="0" w:firstLine="0"/>
        <w:rPr>
          <w:rFonts w:ascii="宋体" w:hAnsi="宋体" w:eastAsia="宋体" w:cs="宋体"/>
          <w:b/>
          <w:bCs/>
          <w:szCs w:val="21"/>
        </w:rPr>
      </w:pPr>
      <w:r>
        <w:rPr>
          <w:rFonts w:hint="eastAsia" w:ascii="宋体" w:hAnsi="宋体" w:eastAsia="宋体" w:cs="宋体"/>
          <w:szCs w:val="21"/>
        </w:rPr>
        <w:t>2.1  完成期限：</w:t>
      </w:r>
      <w:r>
        <w:rPr>
          <w:rFonts w:hint="eastAsia" w:ascii="宋体" w:hAnsi="宋体" w:eastAsia="宋体" w:cs="宋体"/>
          <w:b/>
          <w:bCs/>
          <w:szCs w:val="21"/>
        </w:rPr>
        <w:t>合同签订后一个月内提供项目总体实施方案（含详细进度计划），经甲方评审同意后方可实施；合同签订后十个月内完成项目开发并具备试运行条件。</w:t>
      </w:r>
    </w:p>
    <w:p>
      <w:pPr>
        <w:pStyle w:val="60"/>
        <w:tabs>
          <w:tab w:val="left" w:pos="0"/>
          <w:tab w:val="left" w:pos="993"/>
          <w:tab w:val="clear" w:pos="992"/>
        </w:tabs>
        <w:ind w:left="0" w:firstLine="422" w:firstLineChars="200"/>
        <w:rPr>
          <w:rFonts w:ascii="宋体" w:hAnsi="宋体" w:eastAsia="宋体" w:cs="宋体"/>
          <w:b/>
          <w:bCs/>
          <w:szCs w:val="21"/>
        </w:rPr>
      </w:pPr>
      <w:r>
        <w:rPr>
          <w:rFonts w:hint="eastAsia" w:ascii="宋体" w:hAnsi="宋体" w:eastAsia="宋体" w:cs="宋体"/>
          <w:b/>
          <w:bCs/>
          <w:szCs w:val="21"/>
        </w:rPr>
        <w:t>最终须全部完成系统设计、开发、系统安装部署、功能调试完善、项目集成范围内集团数据接入、相关数据标准编制、与相关系统集成等工作，完成相关人员的主要培训工作，提供软件正式授权证书，同时按采购文件要求及投标承诺提供云资源服务、云安全服务。</w:t>
      </w:r>
    </w:p>
    <w:p>
      <w:pPr>
        <w:pStyle w:val="60"/>
        <w:tabs>
          <w:tab w:val="left" w:pos="0"/>
          <w:tab w:val="left" w:pos="993"/>
          <w:tab w:val="clear" w:pos="992"/>
        </w:tabs>
        <w:ind w:left="0" w:firstLine="421"/>
        <w:jc w:val="left"/>
        <w:rPr>
          <w:rFonts w:ascii="宋体" w:hAnsi="宋体" w:eastAsia="宋体" w:cs="宋体"/>
          <w:b/>
          <w:bCs/>
          <w:szCs w:val="21"/>
        </w:rPr>
      </w:pPr>
      <w:r>
        <w:rPr>
          <w:rFonts w:hint="eastAsia" w:ascii="宋体" w:hAnsi="宋体" w:eastAsia="宋体" w:cs="宋体"/>
          <w:b/>
          <w:bCs/>
          <w:szCs w:val="21"/>
        </w:rPr>
        <w:t>经甲方初步验收合格后投入至少六个月的试运行。试运行期满后由甲方组织正式验收，乙方须按照正式验收的要求提供本合同甲方要求建设的内容、建设过程中产生的所有技术资料、过程管理资料和开发的源代码等供甲方验收，每次验收产生正式的书面报告作为合同款支付的条件。验收评审费用</w:t>
      </w:r>
    </w:p>
    <w:p>
      <w:pPr>
        <w:pStyle w:val="60"/>
        <w:tabs>
          <w:tab w:val="left" w:pos="0"/>
          <w:tab w:val="left" w:pos="993"/>
          <w:tab w:val="clear" w:pos="992"/>
        </w:tabs>
        <w:ind w:left="0" w:firstLine="0"/>
        <w:rPr>
          <w:rFonts w:ascii="宋体" w:hAnsi="宋体" w:eastAsia="宋体" w:cs="宋体"/>
          <w:szCs w:val="21"/>
        </w:rPr>
      </w:pPr>
      <w:r>
        <w:rPr>
          <w:rFonts w:hint="eastAsia" w:ascii="宋体" w:hAnsi="宋体" w:eastAsia="宋体" w:cs="宋体"/>
          <w:szCs w:val="21"/>
        </w:rPr>
        <w:t>2.2  交货地点：甲方指定地点。</w:t>
      </w:r>
    </w:p>
    <w:p>
      <w:pPr>
        <w:pStyle w:val="11"/>
        <w:snapToGrid w:val="0"/>
        <w:rPr>
          <w:rFonts w:ascii="宋体" w:hAnsi="宋体" w:eastAsia="宋体" w:cs="宋体"/>
        </w:rPr>
      </w:pPr>
      <w:r>
        <w:rPr>
          <w:rFonts w:hint="eastAsia" w:ascii="宋体" w:hAnsi="宋体" w:eastAsia="宋体" w:cs="宋体"/>
        </w:rPr>
        <w:t>2.3  验收</w:t>
      </w:r>
    </w:p>
    <w:p>
      <w:pPr>
        <w:pStyle w:val="11"/>
        <w:snapToGrid w:val="0"/>
        <w:ind w:firstLine="420" w:firstLineChars="200"/>
        <w:rPr>
          <w:rFonts w:ascii="宋体" w:hAnsi="宋体" w:eastAsia="宋体" w:cs="宋体"/>
        </w:rPr>
      </w:pPr>
      <w:r>
        <w:rPr>
          <w:rFonts w:hint="eastAsia" w:ascii="宋体" w:hAnsi="宋体" w:eastAsia="宋体" w:cs="宋体"/>
        </w:rPr>
        <w:t>2.3.1系统试运行完成后，甲方应及时进行系统最终验收。乙方应当以书面形式向甲方递交验收通知书，甲方在收到验收通知书后的10日内，确定具体日期，由双方按照本合同的规定完成系统验收。</w:t>
      </w:r>
    </w:p>
    <w:p>
      <w:pPr>
        <w:pStyle w:val="11"/>
        <w:snapToGrid w:val="0"/>
        <w:ind w:firstLine="420" w:firstLineChars="200"/>
        <w:rPr>
          <w:rFonts w:ascii="宋体" w:hAnsi="宋体" w:eastAsia="宋体" w:cs="宋体"/>
        </w:rPr>
      </w:pPr>
      <w:r>
        <w:rPr>
          <w:rFonts w:hint="eastAsia" w:ascii="宋体" w:hAnsi="宋体" w:eastAsia="宋体" w:cs="宋体"/>
        </w:rPr>
        <w:t>2.3.2如果属于乙方原因致使系统未能通过验收，乙方应当排除故障，并自行承担相关费用，同时顺延试运行期，直至系统完全符合验收标准；如果属于甲方原因致使系统未能通过验收，甲方应在合理时间内排除故障，再次进行验收。</w:t>
      </w:r>
    </w:p>
    <w:p>
      <w:pPr>
        <w:pStyle w:val="11"/>
        <w:snapToGrid w:val="0"/>
        <w:ind w:firstLine="420" w:firstLineChars="200"/>
        <w:rPr>
          <w:rFonts w:ascii="宋体" w:hAnsi="宋体" w:eastAsia="宋体" w:cs="宋体"/>
        </w:rPr>
      </w:pPr>
      <w:r>
        <w:rPr>
          <w:rFonts w:hint="eastAsia" w:ascii="宋体" w:hAnsi="宋体" w:eastAsia="宋体" w:cs="宋体"/>
        </w:rPr>
        <w:t>2.3.3验收内容：功能测试、可使用性测试、可维护性测试、稳定性测试、接口测试、安全性测试、文档验收。</w:t>
      </w:r>
    </w:p>
    <w:p>
      <w:pPr>
        <w:pStyle w:val="11"/>
        <w:snapToGrid w:val="0"/>
        <w:ind w:firstLine="420" w:firstLineChars="200"/>
        <w:rPr>
          <w:rFonts w:ascii="宋体" w:hAnsi="宋体" w:eastAsia="宋体" w:cs="宋体"/>
        </w:rPr>
      </w:pPr>
      <w:r>
        <w:rPr>
          <w:rFonts w:hint="eastAsia" w:ascii="宋体" w:hAnsi="宋体" w:eastAsia="宋体" w:cs="宋体"/>
        </w:rPr>
        <w:t>2.3.4项目验收总体分为如下阶段：</w:t>
      </w:r>
    </w:p>
    <w:p>
      <w:pPr>
        <w:pStyle w:val="11"/>
        <w:snapToGrid w:val="0"/>
        <w:ind w:firstLine="420" w:firstLineChars="200"/>
        <w:rPr>
          <w:rFonts w:ascii="宋体" w:hAnsi="宋体" w:eastAsia="宋体" w:cs="宋体"/>
        </w:rPr>
      </w:pPr>
      <w:r>
        <w:rPr>
          <w:rFonts w:hint="eastAsia" w:ascii="宋体" w:hAnsi="宋体" w:eastAsia="宋体" w:cs="宋体"/>
        </w:rPr>
        <w:t>1）系统初步验收（具备试运行条件）：系统达到合同（或需求说明书）中规定的系统功能和技术要求并具备试运行条件后所进行的验收。此验收完成后，经乙方提出、甲方同意，开始系统的试运行。</w:t>
      </w:r>
    </w:p>
    <w:p>
      <w:pPr>
        <w:pStyle w:val="11"/>
        <w:snapToGrid w:val="0"/>
        <w:ind w:firstLine="420" w:firstLineChars="200"/>
        <w:rPr>
          <w:rFonts w:ascii="宋体" w:hAnsi="宋体" w:eastAsia="宋体" w:cs="宋体"/>
        </w:rPr>
      </w:pPr>
      <w:r>
        <w:rPr>
          <w:rFonts w:hint="eastAsia" w:ascii="宋体" w:hAnsi="宋体" w:eastAsia="宋体" w:cs="宋体"/>
        </w:rPr>
        <w:t>2）系统终验：系统试运行(试运行期间乙方负责纠正和清除系统出现的漏洞和缺陷，如试运行期间出现非甲方原因造成的重大故障，导致试运行无法进行，则自乙方排除故障之日起重新计算试运行期)结束后，乙方完成所有遗留问题后所进行的验收。此验收完成后，经乙方提出、甲方同意，系统正式投入运行。</w:t>
      </w:r>
    </w:p>
    <w:p>
      <w:pPr>
        <w:pStyle w:val="5"/>
        <w:rPr>
          <w:rFonts w:ascii="宋体" w:hAnsi="宋体" w:eastAsia="宋体" w:cs="宋体"/>
          <w:szCs w:val="21"/>
        </w:rPr>
      </w:pPr>
      <w:bookmarkStart w:id="204" w:name="_Toc168116138"/>
      <w:bookmarkEnd w:id="204"/>
      <w:bookmarkStart w:id="205" w:name="_Toc167952192"/>
      <w:bookmarkEnd w:id="205"/>
      <w:bookmarkStart w:id="206" w:name="_Toc168115901"/>
      <w:bookmarkEnd w:id="206"/>
      <w:bookmarkStart w:id="207" w:name="_Toc167897184"/>
      <w:bookmarkEnd w:id="207"/>
      <w:bookmarkStart w:id="208" w:name="_Toc69216855"/>
      <w:bookmarkEnd w:id="208"/>
      <w:bookmarkStart w:id="209" w:name="_Toc69208645"/>
      <w:bookmarkEnd w:id="209"/>
      <w:bookmarkStart w:id="210" w:name="_Toc69216765"/>
      <w:bookmarkEnd w:id="210"/>
      <w:bookmarkStart w:id="211" w:name="_Toc168116981"/>
      <w:bookmarkEnd w:id="211"/>
      <w:bookmarkStart w:id="212" w:name="_Toc168117203"/>
      <w:bookmarkEnd w:id="212"/>
      <w:bookmarkStart w:id="213" w:name="_Toc239563629"/>
      <w:bookmarkStart w:id="214" w:name="_Toc268531746"/>
      <w:bookmarkStart w:id="215" w:name="_Toc68495002"/>
      <w:bookmarkStart w:id="216" w:name="_Toc239563526"/>
      <w:bookmarkStart w:id="217" w:name="_Toc470191669"/>
      <w:r>
        <w:rPr>
          <w:rFonts w:hint="eastAsia" w:ascii="宋体" w:hAnsi="宋体" w:eastAsia="宋体" w:cs="宋体"/>
          <w:szCs w:val="21"/>
        </w:rPr>
        <w:t>3、使用授权</w:t>
      </w:r>
      <w:bookmarkEnd w:id="213"/>
      <w:bookmarkEnd w:id="214"/>
      <w:bookmarkEnd w:id="215"/>
      <w:bookmarkEnd w:id="216"/>
      <w:bookmarkEnd w:id="217"/>
      <w:bookmarkStart w:id="218" w:name="_Toc68443802"/>
      <w:bookmarkStart w:id="219" w:name="_Toc68443495"/>
      <w:bookmarkStart w:id="220" w:name="_Toc68491565"/>
      <w:bookmarkStart w:id="221" w:name="_Toc68443925"/>
      <w:bookmarkStart w:id="222" w:name="_Toc68491440"/>
    </w:p>
    <w:p>
      <w:pPr>
        <w:pStyle w:val="60"/>
        <w:tabs>
          <w:tab w:val="left" w:pos="0"/>
          <w:tab w:val="left" w:pos="993"/>
          <w:tab w:val="clear" w:pos="992"/>
        </w:tabs>
        <w:ind w:left="0" w:firstLine="0"/>
        <w:rPr>
          <w:rFonts w:ascii="宋体" w:hAnsi="宋体" w:eastAsia="宋体" w:cs="宋体"/>
          <w:szCs w:val="21"/>
        </w:rPr>
      </w:pPr>
      <w:r>
        <w:rPr>
          <w:rFonts w:hint="eastAsia" w:ascii="宋体" w:hAnsi="宋体" w:eastAsia="宋体" w:cs="宋体"/>
          <w:szCs w:val="21"/>
        </w:rPr>
        <w:t>3.1甲方对乙方提供的所有货物，均拥有合法的使用授权。</w:t>
      </w:r>
      <w:bookmarkEnd w:id="218"/>
      <w:bookmarkEnd w:id="219"/>
      <w:bookmarkEnd w:id="220"/>
      <w:bookmarkEnd w:id="221"/>
      <w:bookmarkEnd w:id="222"/>
      <w:r>
        <w:rPr>
          <w:rFonts w:hint="eastAsia" w:ascii="宋体" w:hAnsi="宋体" w:eastAsia="宋体" w:cs="宋体"/>
          <w:szCs w:val="21"/>
        </w:rPr>
        <w:t>乙方应向甲方提供合法的使用授权的证明文件。</w:t>
      </w:r>
      <w:bookmarkStart w:id="223" w:name="_Toc239563630"/>
      <w:bookmarkStart w:id="224" w:name="_Toc68495003"/>
      <w:bookmarkStart w:id="225" w:name="_Toc239563527"/>
    </w:p>
    <w:p>
      <w:pPr>
        <w:pStyle w:val="60"/>
        <w:tabs>
          <w:tab w:val="left" w:pos="0"/>
          <w:tab w:val="left" w:pos="993"/>
          <w:tab w:val="clear" w:pos="992"/>
        </w:tabs>
        <w:ind w:left="0" w:firstLine="0"/>
        <w:rPr>
          <w:rFonts w:ascii="宋体" w:hAnsi="宋体" w:eastAsia="宋体" w:cs="宋体"/>
          <w:szCs w:val="21"/>
        </w:rPr>
      </w:pPr>
      <w:r>
        <w:rPr>
          <w:rFonts w:hint="eastAsia" w:ascii="宋体" w:hAnsi="宋体" w:eastAsia="宋体" w:cs="宋体"/>
          <w:szCs w:val="21"/>
        </w:rPr>
        <w:t>3.2本项目的知识产权归甲方所有。</w:t>
      </w:r>
    </w:p>
    <w:p>
      <w:pPr>
        <w:pStyle w:val="5"/>
        <w:rPr>
          <w:rFonts w:ascii="宋体" w:hAnsi="宋体" w:eastAsia="宋体" w:cs="宋体"/>
          <w:szCs w:val="21"/>
        </w:rPr>
      </w:pPr>
      <w:bookmarkStart w:id="226" w:name="_Toc268531747"/>
      <w:bookmarkStart w:id="227" w:name="_Toc470191670"/>
      <w:r>
        <w:rPr>
          <w:rFonts w:hint="eastAsia" w:ascii="宋体" w:hAnsi="宋体" w:eastAsia="宋体" w:cs="宋体"/>
          <w:szCs w:val="21"/>
        </w:rPr>
        <w:t>4、安装服务</w:t>
      </w:r>
      <w:bookmarkEnd w:id="223"/>
      <w:bookmarkEnd w:id="224"/>
      <w:bookmarkEnd w:id="225"/>
      <w:bookmarkEnd w:id="226"/>
      <w:bookmarkEnd w:id="227"/>
      <w:bookmarkStart w:id="228" w:name="_Toc68443497"/>
      <w:bookmarkStart w:id="229" w:name="_Toc68491567"/>
      <w:bookmarkStart w:id="230" w:name="_Toc68491442"/>
      <w:bookmarkStart w:id="231" w:name="_Toc68443804"/>
      <w:bookmarkStart w:id="232" w:name="_Toc68443927"/>
    </w:p>
    <w:bookmarkEnd w:id="228"/>
    <w:bookmarkEnd w:id="229"/>
    <w:bookmarkEnd w:id="230"/>
    <w:bookmarkEnd w:id="231"/>
    <w:bookmarkEnd w:id="232"/>
    <w:p>
      <w:pPr>
        <w:pStyle w:val="60"/>
        <w:tabs>
          <w:tab w:val="left" w:pos="0"/>
          <w:tab w:val="left" w:pos="993"/>
          <w:tab w:val="clear" w:pos="992"/>
        </w:tabs>
        <w:ind w:left="0" w:firstLine="0"/>
        <w:rPr>
          <w:rFonts w:ascii="宋体" w:hAnsi="宋体" w:eastAsia="宋体" w:cs="宋体"/>
          <w:szCs w:val="21"/>
        </w:rPr>
      </w:pPr>
      <w:r>
        <w:rPr>
          <w:rFonts w:hint="eastAsia" w:ascii="宋体" w:hAnsi="宋体" w:eastAsia="宋体" w:cs="宋体"/>
          <w:szCs w:val="21"/>
        </w:rPr>
        <w:t>开发服务</w:t>
      </w:r>
    </w:p>
    <w:p>
      <w:pPr>
        <w:pStyle w:val="60"/>
        <w:tabs>
          <w:tab w:val="left" w:pos="0"/>
          <w:tab w:val="left" w:pos="993"/>
          <w:tab w:val="clear" w:pos="992"/>
        </w:tabs>
        <w:ind w:left="0" w:firstLine="0"/>
        <w:rPr>
          <w:rFonts w:ascii="宋体" w:hAnsi="宋体" w:eastAsia="宋体" w:cs="宋体"/>
          <w:szCs w:val="21"/>
        </w:rPr>
      </w:pPr>
      <w:r>
        <w:rPr>
          <w:rFonts w:hint="eastAsia" w:ascii="宋体" w:hAnsi="宋体" w:eastAsia="宋体" w:cs="宋体"/>
          <w:szCs w:val="21"/>
        </w:rPr>
        <w:t>4.1 乙方应满足甲方的需求及时提供集成开发和调试服务，不得延误。在所有软件系统尚未正常运行前，必须随时按甲方的要求在8小时内前往开发地点解决甲方提出的所有与开发有关的问题。</w:t>
      </w:r>
    </w:p>
    <w:p>
      <w:pPr>
        <w:pStyle w:val="60"/>
        <w:tabs>
          <w:tab w:val="left" w:pos="0"/>
          <w:tab w:val="left" w:pos="993"/>
          <w:tab w:val="clear" w:pos="992"/>
        </w:tabs>
        <w:ind w:left="0" w:firstLine="0"/>
        <w:rPr>
          <w:rFonts w:ascii="宋体" w:hAnsi="宋体" w:eastAsia="宋体" w:cs="宋体"/>
          <w:szCs w:val="21"/>
        </w:rPr>
      </w:pPr>
      <w:r>
        <w:rPr>
          <w:rFonts w:hint="eastAsia" w:ascii="宋体" w:hAnsi="宋体" w:eastAsia="宋体" w:cs="宋体"/>
          <w:szCs w:val="21"/>
        </w:rPr>
        <w:t>4.2 甲方须按合同约定积极配合乙方做好安装和调试工作。</w:t>
      </w:r>
    </w:p>
    <w:p>
      <w:pPr>
        <w:pStyle w:val="5"/>
        <w:rPr>
          <w:rFonts w:ascii="宋体" w:hAnsi="宋体" w:eastAsia="宋体" w:cs="宋体"/>
          <w:szCs w:val="21"/>
        </w:rPr>
      </w:pPr>
      <w:bookmarkStart w:id="233" w:name="_Toc239563631"/>
      <w:bookmarkStart w:id="234" w:name="_Toc68495004"/>
      <w:bookmarkStart w:id="235" w:name="_Toc268531748"/>
      <w:bookmarkStart w:id="236" w:name="_Toc470191671"/>
      <w:bookmarkStart w:id="237" w:name="_Toc239563528"/>
      <w:r>
        <w:rPr>
          <w:rFonts w:hint="eastAsia" w:ascii="宋体" w:hAnsi="宋体" w:eastAsia="宋体" w:cs="宋体"/>
          <w:szCs w:val="21"/>
        </w:rPr>
        <w:t>5、免费维护期及维护服务要求</w:t>
      </w:r>
      <w:bookmarkEnd w:id="233"/>
      <w:bookmarkEnd w:id="234"/>
      <w:bookmarkEnd w:id="235"/>
      <w:bookmarkEnd w:id="236"/>
      <w:bookmarkEnd w:id="237"/>
    </w:p>
    <w:p>
      <w:pPr>
        <w:pStyle w:val="60"/>
        <w:tabs>
          <w:tab w:val="left" w:pos="0"/>
          <w:tab w:val="left" w:pos="993"/>
          <w:tab w:val="clear" w:pos="992"/>
        </w:tabs>
        <w:ind w:left="0" w:firstLine="0"/>
        <w:rPr>
          <w:rFonts w:ascii="宋体" w:hAnsi="宋体" w:eastAsia="宋体" w:cs="宋体"/>
          <w:b/>
          <w:bCs/>
          <w:szCs w:val="21"/>
        </w:rPr>
      </w:pPr>
      <w:r>
        <w:rPr>
          <w:rFonts w:hint="eastAsia" w:ascii="宋体" w:hAnsi="宋体" w:eastAsia="宋体" w:cs="宋体"/>
          <w:b/>
          <w:bCs/>
          <w:szCs w:val="21"/>
        </w:rPr>
        <w:t>5.1 质量保证</w:t>
      </w:r>
    </w:p>
    <w:p>
      <w:pPr>
        <w:pStyle w:val="60"/>
        <w:numPr>
          <w:ilvl w:val="0"/>
          <w:numId w:val="26"/>
        </w:numPr>
        <w:tabs>
          <w:tab w:val="left" w:pos="993"/>
          <w:tab w:val="clear" w:pos="780"/>
          <w:tab w:val="clear" w:pos="992"/>
        </w:tabs>
        <w:ind w:left="0" w:firstLine="0"/>
        <w:rPr>
          <w:rFonts w:ascii="宋体" w:hAnsi="宋体" w:eastAsia="宋体" w:cs="宋体"/>
          <w:szCs w:val="21"/>
        </w:rPr>
      </w:pPr>
      <w:r>
        <w:rPr>
          <w:rFonts w:hint="eastAsia" w:ascii="宋体" w:hAnsi="宋体" w:eastAsia="宋体" w:cs="宋体"/>
          <w:szCs w:val="21"/>
        </w:rPr>
        <w:t>系统上线完成后进行至少六个月的试运行，试运行合格进行项目验收，具体操作依据本合同第25条规定的程序和条件进行，项目验收合格后15天内双方签署项目验收证书。双方签署项目验收证书后进入产品的免费维护期，项目免费维护期时限见合同1.10条规定。免费维护期内，乙方有义务对提供的软件系统存在的问题或不足、云资源服务和云安全服务问题或不足进行完善，并随时提供优质的售后服务。</w:t>
      </w:r>
    </w:p>
    <w:p>
      <w:pPr>
        <w:pStyle w:val="60"/>
        <w:numPr>
          <w:ilvl w:val="0"/>
          <w:numId w:val="26"/>
        </w:numPr>
        <w:tabs>
          <w:tab w:val="left" w:pos="993"/>
          <w:tab w:val="clear" w:pos="780"/>
          <w:tab w:val="clear" w:pos="992"/>
        </w:tabs>
        <w:ind w:left="0" w:firstLine="0"/>
        <w:rPr>
          <w:rFonts w:ascii="宋体" w:hAnsi="宋体" w:eastAsia="宋体" w:cs="宋体"/>
          <w:szCs w:val="21"/>
        </w:rPr>
      </w:pPr>
      <w:r>
        <w:rPr>
          <w:rFonts w:hint="eastAsia" w:ascii="宋体" w:hAnsi="宋体" w:eastAsia="宋体" w:cs="宋体"/>
          <w:bCs/>
          <w:szCs w:val="21"/>
        </w:rPr>
        <w:t>乙方须保证依据本合同向甲方所提供的软件系统及其附属产品时，不存在品质或工艺上的瑕疵，能够按照本合同所规定的技术规范、要求和功能进行正常运行。乙方并保证，乙方所提供的软件系统在当前情况下是最适合甲方目前使用的版本。</w:t>
      </w:r>
    </w:p>
    <w:p>
      <w:pPr>
        <w:pStyle w:val="60"/>
        <w:numPr>
          <w:ilvl w:val="0"/>
          <w:numId w:val="26"/>
        </w:numPr>
        <w:tabs>
          <w:tab w:val="left" w:pos="993"/>
          <w:tab w:val="clear" w:pos="780"/>
          <w:tab w:val="clear" w:pos="992"/>
        </w:tabs>
        <w:ind w:left="0" w:firstLine="0"/>
        <w:rPr>
          <w:rFonts w:ascii="宋体" w:hAnsi="宋体" w:eastAsia="宋体" w:cs="宋体"/>
          <w:szCs w:val="21"/>
        </w:rPr>
      </w:pPr>
      <w:r>
        <w:rPr>
          <w:rFonts w:hint="eastAsia" w:ascii="宋体" w:hAnsi="宋体" w:eastAsia="宋体" w:cs="宋体"/>
          <w:b/>
          <w:bCs/>
          <w:szCs w:val="21"/>
        </w:rPr>
        <w:t>当本合同所开发系统出现不正常情况时，乙方需及时采取措施或提供服务，协助甲方使系统恢复正常，不得推诿。</w:t>
      </w:r>
    </w:p>
    <w:p>
      <w:pPr>
        <w:pStyle w:val="60"/>
        <w:tabs>
          <w:tab w:val="left" w:pos="0"/>
          <w:tab w:val="left" w:pos="993"/>
          <w:tab w:val="clear" w:pos="992"/>
        </w:tabs>
        <w:ind w:left="0" w:firstLine="0"/>
        <w:rPr>
          <w:rFonts w:ascii="宋体" w:hAnsi="宋体" w:eastAsia="宋体" w:cs="宋体"/>
          <w:b/>
          <w:bCs/>
          <w:szCs w:val="21"/>
        </w:rPr>
      </w:pPr>
      <w:r>
        <w:rPr>
          <w:rFonts w:hint="eastAsia" w:ascii="宋体" w:hAnsi="宋体" w:eastAsia="宋体" w:cs="宋体"/>
          <w:b/>
          <w:bCs/>
          <w:szCs w:val="21"/>
        </w:rPr>
        <w:t>5.2 售后服务</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5.2.1乙方须向甲方提供完善的售后服务，乙方承诺其以及其所指派的工作人员具有履行本合同所必须的资质与专业经验、符合投标承诺，否则，在本合同履行的过程中，由于乙方或其工作人员缺乏相关资质与专业经验而造成本合同无法正常履行的，乙方应承担违约责任，并赔偿甲方由此所遭受的全部经济损失。</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5.2.2乙方须向甲方提供现场服务联系机构的电话和联系人姓名，提供全天候（每天24小时，每周7天）的热线电话响应服务。</w:t>
      </w:r>
    </w:p>
    <w:p>
      <w:pPr>
        <w:pStyle w:val="61"/>
        <w:ind w:right="210"/>
        <w:jc w:val="left"/>
        <w:rPr>
          <w:rFonts w:ascii="宋体" w:hAnsi="宋体" w:eastAsia="宋体" w:cs="宋体"/>
          <w:b w:val="0"/>
          <w:bCs/>
          <w:sz w:val="21"/>
          <w:szCs w:val="21"/>
        </w:rPr>
      </w:pPr>
      <w:bookmarkStart w:id="238" w:name="_Toc68495007"/>
      <w:bookmarkStart w:id="239" w:name="_Toc268531751"/>
      <w:bookmarkStart w:id="240" w:name="_Toc470191674"/>
      <w:bookmarkStart w:id="241" w:name="_Toc239563634"/>
      <w:bookmarkStart w:id="242" w:name="_Toc239563531"/>
      <w:r>
        <w:rPr>
          <w:rFonts w:hint="eastAsia" w:ascii="宋体" w:hAnsi="宋体" w:eastAsia="宋体" w:cs="宋体"/>
          <w:b w:val="0"/>
          <w:bCs/>
          <w:sz w:val="21"/>
          <w:szCs w:val="21"/>
        </w:rPr>
        <w:t>5.2.3疫情期间服务人员保障：</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5.2.3.1凡来自有报告核酸阳性病例所在地及中高风险所在设区市或县（市、区）人员不得作为服务人员。</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5.2.3.2服务人员若为省外来温、返温人员，在进入安装调试现场前必须按实时疫情防控要求提供核酸检测证明。</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5.2.3.3甲方将提前通知乙方服务开始进场时间，乙方收到通知后必须确保届时确定的服务人员健康码、通信大数据行程卡为绿色，符合浙江省温州市及甲方疫情防控要求；在随后的工期及售后服务期内乙方应确保其为本项目提供服务的所有人员在进入甲方现场时符合这些浙江省温州市及甲方疫情防控要求。任何因为乙方服务人员不符合疫情防控要求而影响合同规定的服务工作的，均视作乙方严重违约，甲方有权没收全部履约保证金，并就损害情况有权保留进一步索赔的权利。</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5.2.4乙方在系统整体终验后从正式投运之日起向甲方提供不少于投标承诺期限技术支持和维护服务，在此期间如发生系统运行故障，或出现瑕疵与缺陷，乙方将按照下列方式提供技术支持和维护服务：</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1）服务内容包括系统升级、故障排除、性能调优、数据移植、技术咨询以及甲方因发展需要开展信息化建设如需调用本合同范围内系统接口、数据、协议、服务等，乙方须无条件免费提供并配合其他单位实施，乙方负责系统的开发、集成，处理、协调与各系统软件、硬件等供应商的关系。</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2）系统在使用过程中，需要功能上的修补和完善：24小时内提出解决方案，3日内解决问题；系统个别服务不正常、部分服务不正常：12小时内提出解决方案，24小时内解决问题；系统严重故障，导致系统瘫痪：1小时内提出解决方案，8小时内解决问题。在免费维护期内，对于故障处理未能在上述要求时间内恢复，将视作违约。</w:t>
      </w:r>
      <w:r>
        <w:rPr>
          <w:rFonts w:hint="eastAsia" w:ascii="宋体" w:hAnsi="宋体" w:eastAsia="宋体" w:cs="宋体"/>
          <w:sz w:val="21"/>
          <w:szCs w:val="21"/>
        </w:rPr>
        <w:t>如果乙方的设计、安装或服务出现缺陷漏项或考虑不周，乙方应自费在尽可能短的时间内修复、更换或补救。如果服务没有达到以上要求，甲方有权免费维保期内的合同余款中扣除部分款项作为处罚。</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3）乙方承诺，同一版本系统软件在寿命期内随软件生产商同步更新、升级、并提供免费更新、升级。</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4）乙方在系统整体终验后投标承诺的期限内提供的上述维护、技术支持与服务的费用已包括在合同总价内，技术支持和维护服务期内，至少配备1名参加过本系统建设的技术人员，在办公时间内常驻在甲方指定的办公场地至少1年，以保证系统的稳定运行和适应新业务的开展。</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5.2.5售后服务违约处理：未能及时妥善解决问题的，根据严重程度，每次扣除质保金的5%、10%、20%作为处罚，并由乙方承担对甲方造成的经济损失。</w:t>
      </w:r>
    </w:p>
    <w:p>
      <w:pPr>
        <w:pStyle w:val="5"/>
        <w:rPr>
          <w:rFonts w:ascii="宋体" w:hAnsi="宋体" w:eastAsia="宋体" w:cs="宋体"/>
          <w:bCs w:val="0"/>
          <w:szCs w:val="21"/>
        </w:rPr>
      </w:pPr>
      <w:r>
        <w:rPr>
          <w:rFonts w:hint="eastAsia" w:ascii="宋体" w:hAnsi="宋体" w:eastAsia="宋体" w:cs="宋体"/>
          <w:szCs w:val="21"/>
        </w:rPr>
        <w:t>6、培训要求</w:t>
      </w:r>
      <w:bookmarkEnd w:id="238"/>
      <w:bookmarkEnd w:id="239"/>
      <w:bookmarkEnd w:id="240"/>
      <w:bookmarkEnd w:id="241"/>
      <w:bookmarkEnd w:id="242"/>
    </w:p>
    <w:p>
      <w:pPr>
        <w:pStyle w:val="60"/>
        <w:tabs>
          <w:tab w:val="left" w:pos="426"/>
          <w:tab w:val="left" w:pos="851"/>
          <w:tab w:val="clear" w:pos="992"/>
        </w:tabs>
        <w:ind w:left="0" w:firstLine="0"/>
        <w:rPr>
          <w:rFonts w:ascii="宋体" w:hAnsi="宋体" w:eastAsia="宋体" w:cs="宋体"/>
          <w:szCs w:val="21"/>
        </w:rPr>
      </w:pPr>
      <w:r>
        <w:rPr>
          <w:rFonts w:hint="eastAsia" w:ascii="宋体" w:hAnsi="宋体" w:eastAsia="宋体" w:cs="宋体"/>
          <w:szCs w:val="21"/>
        </w:rPr>
        <w:t>6.1</w:t>
      </w:r>
      <w:r>
        <w:rPr>
          <w:rFonts w:hint="eastAsia" w:ascii="宋体" w:hAnsi="宋体" w:eastAsia="宋体" w:cs="宋体"/>
          <w:szCs w:val="21"/>
        </w:rPr>
        <w:tab/>
      </w:r>
      <w:r>
        <w:rPr>
          <w:rFonts w:hint="eastAsia" w:ascii="宋体" w:hAnsi="宋体" w:eastAsia="宋体" w:cs="宋体"/>
          <w:szCs w:val="21"/>
        </w:rPr>
        <w:t xml:space="preserve"> 乙方应提供体系完整、层次丰富的培训，包括基础培训、甲方及所属单位技术人员和使用人员的培训。</w:t>
      </w:r>
    </w:p>
    <w:p>
      <w:pPr>
        <w:pStyle w:val="60"/>
        <w:tabs>
          <w:tab w:val="left" w:pos="426"/>
          <w:tab w:val="left" w:pos="851"/>
          <w:tab w:val="clear" w:pos="992"/>
        </w:tabs>
        <w:ind w:left="0" w:firstLine="0"/>
        <w:rPr>
          <w:rFonts w:ascii="宋体" w:hAnsi="宋体" w:eastAsia="宋体" w:cs="宋体"/>
          <w:szCs w:val="21"/>
        </w:rPr>
      </w:pPr>
      <w:r>
        <w:rPr>
          <w:rFonts w:hint="eastAsia" w:ascii="宋体" w:hAnsi="宋体" w:eastAsia="宋体" w:cs="宋体"/>
          <w:szCs w:val="21"/>
        </w:rPr>
        <w:t>6.2</w:t>
      </w:r>
      <w:r>
        <w:rPr>
          <w:rFonts w:hint="eastAsia" w:ascii="宋体" w:hAnsi="宋体" w:eastAsia="宋体" w:cs="宋体"/>
          <w:szCs w:val="21"/>
        </w:rPr>
        <w:tab/>
      </w:r>
      <w:r>
        <w:rPr>
          <w:rFonts w:hint="eastAsia" w:ascii="宋体" w:hAnsi="宋体" w:eastAsia="宋体" w:cs="宋体"/>
          <w:szCs w:val="21"/>
        </w:rPr>
        <w:t xml:space="preserve"> 具体培训方案：</w:t>
      </w:r>
      <w:r>
        <w:rPr>
          <w:rFonts w:hint="eastAsia" w:ascii="宋体" w:hAnsi="宋体" w:eastAsia="宋体" w:cs="宋体"/>
          <w:szCs w:val="21"/>
          <w:u w:val="single"/>
        </w:rPr>
        <w:t xml:space="preserve">                            </w:t>
      </w:r>
      <w:r>
        <w:rPr>
          <w:rFonts w:hint="eastAsia" w:ascii="宋体" w:hAnsi="宋体" w:eastAsia="宋体" w:cs="宋体"/>
          <w:szCs w:val="21"/>
        </w:rPr>
        <w:t>。乙方如需要对确定的培训地点、内容等项目进行变更，应提出书面通知，并经甲方认可后方可变更，并由乙方承担变更中发生的全部费用。</w:t>
      </w:r>
    </w:p>
    <w:p>
      <w:pPr>
        <w:pStyle w:val="5"/>
        <w:rPr>
          <w:rFonts w:ascii="宋体" w:hAnsi="宋体" w:eastAsia="宋体" w:cs="宋体"/>
          <w:bCs w:val="0"/>
          <w:szCs w:val="21"/>
        </w:rPr>
      </w:pPr>
      <w:bookmarkStart w:id="243" w:name="_Toc239563635"/>
      <w:bookmarkStart w:id="244" w:name="_Toc239563532"/>
      <w:bookmarkStart w:id="245" w:name="_Toc470191675"/>
      <w:bookmarkStart w:id="246" w:name="_Toc268531752"/>
      <w:bookmarkStart w:id="247" w:name="_Toc68495008"/>
      <w:r>
        <w:rPr>
          <w:rFonts w:hint="eastAsia" w:ascii="宋体" w:hAnsi="宋体" w:eastAsia="宋体" w:cs="宋体"/>
          <w:szCs w:val="21"/>
        </w:rPr>
        <w:t>7、合同价格、支付方式和时间</w:t>
      </w:r>
      <w:bookmarkEnd w:id="243"/>
      <w:bookmarkEnd w:id="244"/>
      <w:bookmarkEnd w:id="245"/>
      <w:bookmarkEnd w:id="246"/>
      <w:bookmarkEnd w:id="247"/>
    </w:p>
    <w:p>
      <w:pPr>
        <w:pStyle w:val="60"/>
        <w:numPr>
          <w:ilvl w:val="0"/>
          <w:numId w:val="27"/>
        </w:numPr>
        <w:tabs>
          <w:tab w:val="left" w:pos="567"/>
          <w:tab w:val="left" w:pos="993"/>
          <w:tab w:val="clear" w:pos="992"/>
        </w:tabs>
        <w:jc w:val="left"/>
        <w:rPr>
          <w:rFonts w:ascii="宋体" w:hAnsi="宋体" w:eastAsia="宋体" w:cs="宋体"/>
          <w:szCs w:val="21"/>
        </w:rPr>
      </w:pPr>
      <w:r>
        <w:rPr>
          <w:rFonts w:hint="eastAsia" w:ascii="宋体" w:hAnsi="宋体" w:eastAsia="宋体" w:cs="宋体"/>
          <w:szCs w:val="21"/>
        </w:rPr>
        <w:t xml:space="preserve"> 合同价格总计人民币</w:t>
      </w:r>
      <w:r>
        <w:rPr>
          <w:rFonts w:hint="eastAsia" w:ascii="宋体" w:hAnsi="宋体" w:eastAsia="宋体" w:cs="宋体"/>
          <w:szCs w:val="21"/>
          <w:u w:val="single"/>
        </w:rPr>
        <w:t xml:space="preserve">       万元</w:t>
      </w:r>
      <w:r>
        <w:rPr>
          <w:rFonts w:hint="eastAsia" w:ascii="宋体" w:hAnsi="宋体" w:eastAsia="宋体" w:cs="宋体"/>
          <w:szCs w:val="21"/>
        </w:rPr>
        <w:t xml:space="preserve">(大写: </w:t>
      </w:r>
      <w:r>
        <w:rPr>
          <w:rFonts w:hint="eastAsia" w:ascii="宋体" w:hAnsi="宋体" w:eastAsia="宋体" w:cs="宋体"/>
          <w:szCs w:val="21"/>
          <w:u w:val="single"/>
        </w:rPr>
        <w:t xml:space="preserve">        元整</w:t>
      </w:r>
      <w:r>
        <w:rPr>
          <w:rFonts w:hint="eastAsia" w:ascii="宋体" w:hAnsi="宋体" w:eastAsia="宋体" w:cs="宋体"/>
          <w:b/>
          <w:szCs w:val="21"/>
        </w:rPr>
        <w:t>)</w:t>
      </w:r>
      <w:r>
        <w:rPr>
          <w:rFonts w:hint="eastAsia" w:ascii="宋体" w:hAnsi="宋体" w:eastAsia="宋体" w:cs="宋体"/>
          <w:szCs w:val="21"/>
        </w:rPr>
        <w:t>，详细价格表见附件一。</w:t>
      </w:r>
    </w:p>
    <w:p>
      <w:pPr>
        <w:pStyle w:val="60"/>
        <w:numPr>
          <w:ilvl w:val="0"/>
          <w:numId w:val="27"/>
        </w:numPr>
        <w:tabs>
          <w:tab w:val="left" w:pos="567"/>
          <w:tab w:val="left" w:pos="993"/>
          <w:tab w:val="clear" w:pos="992"/>
        </w:tabs>
        <w:jc w:val="left"/>
        <w:rPr>
          <w:rFonts w:ascii="宋体" w:hAnsi="宋体" w:eastAsia="宋体" w:cs="宋体"/>
          <w:szCs w:val="21"/>
        </w:rPr>
      </w:pPr>
      <w:r>
        <w:rPr>
          <w:rFonts w:hint="eastAsia" w:ascii="宋体" w:hAnsi="宋体" w:eastAsia="宋体" w:cs="宋体"/>
          <w:szCs w:val="21"/>
        </w:rPr>
        <w:t>本合同付款由甲方分</w:t>
      </w:r>
      <w:r>
        <w:rPr>
          <w:rFonts w:hint="eastAsia" w:ascii="宋体" w:hAnsi="宋体" w:eastAsia="宋体" w:cs="宋体"/>
          <w:szCs w:val="21"/>
          <w:shd w:val="pct10" w:color="auto" w:fill="FFFFFF"/>
        </w:rPr>
        <w:t>【    】</w:t>
      </w:r>
      <w:r>
        <w:rPr>
          <w:rFonts w:hint="eastAsia" w:ascii="宋体" w:hAnsi="宋体" w:eastAsia="宋体" w:cs="宋体"/>
          <w:szCs w:val="21"/>
        </w:rPr>
        <w:t>期以银行转账或支票方式支付。</w:t>
      </w:r>
    </w:p>
    <w:p>
      <w:pPr>
        <w:pStyle w:val="60"/>
        <w:numPr>
          <w:ilvl w:val="0"/>
          <w:numId w:val="27"/>
        </w:numPr>
        <w:tabs>
          <w:tab w:val="left" w:pos="567"/>
          <w:tab w:val="left" w:pos="993"/>
          <w:tab w:val="clear" w:pos="992"/>
        </w:tabs>
        <w:jc w:val="left"/>
        <w:rPr>
          <w:rFonts w:ascii="宋体" w:hAnsi="宋体" w:eastAsia="宋体" w:cs="宋体"/>
          <w:szCs w:val="21"/>
        </w:rPr>
      </w:pPr>
      <w:r>
        <w:rPr>
          <w:rFonts w:hint="eastAsia" w:ascii="宋体" w:hAnsi="宋体" w:eastAsia="宋体" w:cs="宋体"/>
          <w:szCs w:val="21"/>
        </w:rPr>
        <w:t>支付方式和时间</w:t>
      </w:r>
    </w:p>
    <w:p>
      <w:pPr>
        <w:pStyle w:val="60"/>
        <w:tabs>
          <w:tab w:val="left" w:pos="567"/>
          <w:tab w:val="left" w:pos="993"/>
          <w:tab w:val="clear" w:pos="992"/>
        </w:tabs>
        <w:ind w:left="0" w:firstLine="420" w:firstLineChars="200"/>
        <w:jc w:val="left"/>
        <w:rPr>
          <w:rFonts w:ascii="宋体" w:hAnsi="宋体" w:eastAsia="宋体" w:cs="宋体"/>
          <w:szCs w:val="21"/>
        </w:rPr>
      </w:pPr>
      <w:r>
        <w:rPr>
          <w:rFonts w:hint="eastAsia" w:ascii="宋体" w:hAnsi="宋体" w:eastAsia="宋体" w:cs="宋体"/>
          <w:szCs w:val="21"/>
        </w:rPr>
        <w:t>乙方在收到中标通知书后，签订合同前须向甲方一次性提交履约保证金。履约保证金采取转账形式，履约保证金金额为合同价的</w:t>
      </w:r>
      <w:r>
        <w:rPr>
          <w:rFonts w:hint="eastAsia" w:ascii="宋体" w:hAnsi="宋体" w:eastAsia="宋体" w:cs="宋体"/>
          <w:szCs w:val="21"/>
          <w:lang w:val="en-US" w:eastAsia="zh-CN"/>
        </w:rPr>
        <w:t>10</w:t>
      </w:r>
      <w:r>
        <w:rPr>
          <w:rFonts w:hint="eastAsia" w:ascii="宋体" w:hAnsi="宋体" w:eastAsia="宋体" w:cs="宋体"/>
          <w:szCs w:val="21"/>
        </w:rPr>
        <w:t>%。</w:t>
      </w:r>
    </w:p>
    <w:p>
      <w:pPr>
        <w:pStyle w:val="60"/>
        <w:tabs>
          <w:tab w:val="left" w:pos="567"/>
          <w:tab w:val="left" w:pos="993"/>
          <w:tab w:val="clear" w:pos="992"/>
        </w:tabs>
        <w:ind w:left="0" w:firstLine="420" w:firstLineChars="200"/>
        <w:jc w:val="left"/>
        <w:rPr>
          <w:rFonts w:ascii="宋体" w:hAnsi="宋体" w:eastAsia="宋体" w:cs="宋体"/>
          <w:szCs w:val="21"/>
          <w:highlight w:val="none"/>
        </w:rPr>
      </w:pPr>
      <w:r>
        <w:rPr>
          <w:rFonts w:hint="eastAsia" w:ascii="宋体" w:hAnsi="宋体" w:eastAsia="宋体" w:cs="宋体"/>
          <w:szCs w:val="21"/>
          <w:highlight w:val="none"/>
        </w:rPr>
        <w:t>合同价格由</w:t>
      </w:r>
      <w:r>
        <w:rPr>
          <w:rFonts w:hint="eastAsia" w:ascii="宋体" w:hAnsi="宋体" w:eastAsia="宋体" w:cs="宋体"/>
          <w:szCs w:val="21"/>
          <w:highlight w:val="none"/>
          <w:u w:val="single"/>
        </w:rPr>
        <w:t>软件产品费用、实施费用、开发费用、云资源服务费用和云安全费用组成（含项目相关专家评审费用）</w:t>
      </w:r>
      <w:r>
        <w:rPr>
          <w:rFonts w:hint="eastAsia" w:ascii="宋体" w:hAnsi="宋体" w:eastAsia="宋体" w:cs="宋体"/>
          <w:szCs w:val="21"/>
          <w:highlight w:val="none"/>
        </w:rPr>
        <w:t>，具体支付方式如下，每次支付乙方须提交甲方的付款金额须开具相应的增值税专用发票。</w:t>
      </w:r>
    </w:p>
    <w:p>
      <w:pPr>
        <w:pStyle w:val="60"/>
        <w:tabs>
          <w:tab w:val="left" w:pos="567"/>
          <w:tab w:val="left" w:pos="993"/>
          <w:tab w:val="clear" w:pos="992"/>
        </w:tabs>
        <w:ind w:left="0"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7.3.1合同签订、完成需求调研及甲方确认、并具备实施条件后10个工作日内，甲方向乙方支付合同金额的</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0％作为预付款（预付款不扣回），即大写人民币：</w:t>
      </w:r>
      <w:r>
        <w:rPr>
          <w:rFonts w:hint="eastAsia" w:ascii="宋体" w:hAnsi="宋体" w:eastAsia="宋体" w:cs="宋体"/>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w:t>
      </w:r>
    </w:p>
    <w:p>
      <w:pPr>
        <w:pStyle w:val="60"/>
        <w:tabs>
          <w:tab w:val="left" w:pos="567"/>
          <w:tab w:val="left" w:pos="993"/>
          <w:tab w:val="clear" w:pos="992"/>
        </w:tabs>
        <w:ind w:left="0" w:firstLine="420" w:firstLineChars="200"/>
        <w:jc w:val="left"/>
        <w:rPr>
          <w:rFonts w:ascii="宋体" w:hAnsi="宋体" w:eastAsia="宋体" w:cs="宋体"/>
          <w:szCs w:val="21"/>
          <w:highlight w:val="none"/>
          <w:u w:val="single"/>
        </w:rPr>
      </w:pPr>
      <w:r>
        <w:rPr>
          <w:rFonts w:hint="eastAsia" w:ascii="宋体" w:hAnsi="宋体" w:eastAsia="宋体" w:cs="宋体"/>
          <w:szCs w:val="21"/>
          <w:highlight w:val="none"/>
        </w:rPr>
        <w:t>7.3.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完成系统建设和定制开发，系统上线并经甲方初步验收通过后进入试运行前10个工作日内支付合同总额的30%，即大写人民币：</w:t>
      </w:r>
      <w:r>
        <w:rPr>
          <w:rFonts w:hint="eastAsia" w:ascii="宋体" w:hAnsi="宋体" w:eastAsia="宋体" w:cs="宋体"/>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w:t>
      </w:r>
    </w:p>
    <w:p>
      <w:pPr>
        <w:pStyle w:val="60"/>
        <w:tabs>
          <w:tab w:val="left" w:pos="567"/>
          <w:tab w:val="left" w:pos="993"/>
          <w:tab w:val="clear" w:pos="992"/>
        </w:tabs>
        <w:ind w:left="0" w:firstLine="420" w:firstLineChars="200"/>
        <w:jc w:val="left"/>
        <w:rPr>
          <w:rFonts w:ascii="宋体" w:hAnsi="宋体" w:eastAsia="宋体" w:cs="宋体"/>
          <w:szCs w:val="21"/>
          <w:highlight w:val="none"/>
          <w:u w:val="single"/>
        </w:rPr>
      </w:pPr>
      <w:r>
        <w:rPr>
          <w:rFonts w:hint="eastAsia" w:ascii="宋体" w:hAnsi="宋体" w:eastAsia="宋体" w:cs="宋体"/>
          <w:szCs w:val="21"/>
          <w:highlight w:val="none"/>
          <w:u w:val="single"/>
        </w:rPr>
        <w:t>7.3.</w:t>
      </w:r>
      <w:r>
        <w:rPr>
          <w:rFonts w:hint="eastAsia" w:ascii="宋体" w:hAnsi="宋体" w:eastAsia="宋体" w:cs="宋体"/>
          <w:szCs w:val="21"/>
          <w:highlight w:val="none"/>
          <w:u w:val="single"/>
          <w:lang w:val="en-US" w:eastAsia="zh-CN"/>
        </w:rPr>
        <w:t>3</w:t>
      </w:r>
      <w:r>
        <w:rPr>
          <w:rFonts w:hint="eastAsia" w:ascii="宋体" w:hAnsi="宋体" w:eastAsia="宋体" w:cs="宋体"/>
          <w:szCs w:val="21"/>
          <w:highlight w:val="none"/>
          <w:u w:val="single"/>
        </w:rPr>
        <w:t xml:space="preserve"> 系统试运行满六个月且经甲方正式整体验收通过后10个工作日内，支付合同总价的50%，即大写人民币</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u w:val="single"/>
        </w:rPr>
        <w:t>）。同时无息退还履约保证金。</w:t>
      </w:r>
    </w:p>
    <w:p>
      <w:pPr>
        <w:pStyle w:val="60"/>
        <w:tabs>
          <w:tab w:val="left" w:pos="567"/>
          <w:tab w:val="left" w:pos="993"/>
          <w:tab w:val="clear" w:pos="992"/>
        </w:tabs>
        <w:ind w:left="0" w:firstLine="420" w:firstLineChars="200"/>
        <w:jc w:val="left"/>
        <w:rPr>
          <w:rFonts w:ascii="宋体" w:hAnsi="宋体" w:eastAsia="宋体" w:cs="宋体"/>
          <w:szCs w:val="21"/>
          <w:highlight w:val="none"/>
          <w:u w:val="single"/>
        </w:rPr>
      </w:pPr>
      <w:r>
        <w:rPr>
          <w:rFonts w:hint="eastAsia" w:ascii="宋体" w:hAnsi="宋体" w:eastAsia="宋体" w:cs="宋体"/>
          <w:szCs w:val="21"/>
          <w:highlight w:val="none"/>
          <w:u w:val="single"/>
        </w:rPr>
        <w:t>7.3.</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u w:val="single"/>
        </w:rPr>
        <w:t xml:space="preserve"> 剩余合同总价的</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0%款项</w:t>
      </w:r>
      <w:r>
        <w:rPr>
          <w:rFonts w:hint="eastAsia" w:ascii="宋体" w:hAnsi="宋体" w:eastAsia="宋体" w:cs="宋体"/>
          <w:szCs w:val="21"/>
          <w:highlight w:val="none"/>
          <w:u w:val="single"/>
          <w:lang w:val="en-US" w:eastAsia="zh-CN"/>
        </w:rPr>
        <w:t>作为质量保证金</w:t>
      </w:r>
      <w:r>
        <w:rPr>
          <w:rFonts w:hint="eastAsia" w:ascii="宋体" w:hAnsi="宋体" w:eastAsia="宋体" w:cs="宋体"/>
          <w:szCs w:val="21"/>
          <w:highlight w:val="none"/>
          <w:u w:val="single"/>
        </w:rPr>
        <w:t>，在承诺的免费维护期</w:t>
      </w:r>
      <w:r>
        <w:rPr>
          <w:rFonts w:hint="eastAsia" w:ascii="宋体" w:hAnsi="宋体" w:eastAsia="宋体" w:cs="宋体"/>
          <w:szCs w:val="21"/>
          <w:highlight w:val="none"/>
          <w:u w:val="single"/>
          <w:lang w:val="en-US" w:eastAsia="zh-CN"/>
        </w:rPr>
        <w:t>满后，所有系统运行中出现的质量问题均处理好，且经甲方认可后10个工作日内一次性支付给乙方</w:t>
      </w:r>
      <w:r>
        <w:rPr>
          <w:rFonts w:hint="eastAsia" w:ascii="宋体" w:hAnsi="宋体" w:eastAsia="宋体" w:cs="宋体"/>
          <w:szCs w:val="21"/>
          <w:highlight w:val="none"/>
          <w:u w:val="single"/>
        </w:rPr>
        <w:t>。</w:t>
      </w:r>
    </w:p>
    <w:p>
      <w:pPr>
        <w:pStyle w:val="60"/>
        <w:tabs>
          <w:tab w:val="left" w:pos="567"/>
          <w:tab w:val="left" w:pos="993"/>
          <w:tab w:val="clear" w:pos="992"/>
        </w:tabs>
        <w:ind w:left="0" w:firstLine="420" w:firstLineChars="200"/>
        <w:jc w:val="left"/>
        <w:rPr>
          <w:rFonts w:ascii="宋体" w:hAnsi="宋体" w:eastAsia="宋体" w:cs="宋体"/>
          <w:szCs w:val="21"/>
          <w:highlight w:val="none"/>
          <w:u w:val="single"/>
        </w:rPr>
      </w:pPr>
      <w:r>
        <w:rPr>
          <w:rFonts w:hint="eastAsia" w:ascii="宋体" w:hAnsi="宋体" w:eastAsia="宋体" w:cs="宋体"/>
          <w:szCs w:val="21"/>
          <w:highlight w:val="none"/>
          <w:u w:val="single"/>
        </w:rPr>
        <w:t>7.3.</w:t>
      </w:r>
      <w:r>
        <w:rPr>
          <w:rFonts w:hint="eastAsia" w:ascii="宋体" w:hAnsi="宋体" w:eastAsia="宋体" w:cs="宋体"/>
          <w:szCs w:val="21"/>
          <w:highlight w:val="none"/>
          <w:u w:val="single"/>
          <w:lang w:val="en-US" w:eastAsia="zh-CN"/>
        </w:rPr>
        <w:t>5</w:t>
      </w:r>
      <w:r>
        <w:rPr>
          <w:rFonts w:hint="eastAsia" w:ascii="宋体" w:hAnsi="宋体" w:eastAsia="宋体" w:cs="宋体"/>
          <w:b/>
          <w:bCs/>
          <w:szCs w:val="21"/>
          <w:highlight w:val="none"/>
          <w:u w:val="single"/>
        </w:rPr>
        <w:t>本项目监理费用为人民币4.88万元，该费用由乙方支付。</w:t>
      </w:r>
    </w:p>
    <w:p>
      <w:pPr>
        <w:pStyle w:val="5"/>
        <w:rPr>
          <w:rFonts w:ascii="宋体" w:hAnsi="宋体" w:eastAsia="宋体" w:cs="宋体"/>
          <w:bCs w:val="0"/>
          <w:szCs w:val="21"/>
        </w:rPr>
      </w:pPr>
      <w:bookmarkStart w:id="248" w:name="_Toc470191676"/>
      <w:bookmarkStart w:id="249" w:name="_Toc239563636"/>
      <w:bookmarkStart w:id="250" w:name="_Toc268531753"/>
      <w:bookmarkStart w:id="251" w:name="_Toc68495009"/>
      <w:bookmarkStart w:id="252" w:name="_Toc239563533"/>
      <w:r>
        <w:rPr>
          <w:rFonts w:hint="eastAsia" w:ascii="宋体" w:hAnsi="宋体" w:eastAsia="宋体" w:cs="宋体"/>
          <w:szCs w:val="21"/>
        </w:rPr>
        <w:t>8、质量要求及技术规格和标准</w:t>
      </w:r>
      <w:bookmarkEnd w:id="248"/>
      <w:bookmarkEnd w:id="249"/>
      <w:bookmarkEnd w:id="250"/>
      <w:bookmarkEnd w:id="251"/>
      <w:bookmarkEnd w:id="252"/>
    </w:p>
    <w:p>
      <w:pPr>
        <w:pStyle w:val="61"/>
        <w:ind w:right="210"/>
        <w:jc w:val="left"/>
        <w:rPr>
          <w:rFonts w:ascii="宋体" w:hAnsi="宋体" w:eastAsia="宋体" w:cs="宋体"/>
          <w:b w:val="0"/>
          <w:bCs/>
          <w:sz w:val="21"/>
          <w:szCs w:val="21"/>
        </w:rPr>
      </w:pPr>
      <w:bookmarkStart w:id="253" w:name="_Toc68443510"/>
      <w:bookmarkStart w:id="254" w:name="_Toc68443817"/>
      <w:bookmarkStart w:id="255" w:name="_Toc68491580"/>
      <w:bookmarkStart w:id="256" w:name="_Toc68491455"/>
      <w:bookmarkStart w:id="257" w:name="_Toc68443940"/>
      <w:r>
        <w:rPr>
          <w:rFonts w:hint="eastAsia" w:ascii="宋体" w:hAnsi="宋体" w:eastAsia="宋体" w:cs="宋体"/>
          <w:b w:val="0"/>
          <w:bCs/>
          <w:sz w:val="21"/>
          <w:szCs w:val="21"/>
        </w:rPr>
        <w:t>8.1乙方应按照合同附件二《技术规范书》所规定的技术要求提供软件系统，保证</w:t>
      </w:r>
      <w:bookmarkEnd w:id="253"/>
      <w:bookmarkEnd w:id="254"/>
      <w:bookmarkEnd w:id="255"/>
      <w:bookmarkEnd w:id="256"/>
      <w:bookmarkEnd w:id="257"/>
      <w:bookmarkStart w:id="258" w:name="_Toc68491456"/>
      <w:bookmarkStart w:id="259" w:name="_Toc68443818"/>
      <w:bookmarkStart w:id="260" w:name="_Toc68443511"/>
      <w:bookmarkStart w:id="261" w:name="_Toc68491581"/>
      <w:bookmarkStart w:id="262" w:name="_Toc68443941"/>
      <w:r>
        <w:rPr>
          <w:rFonts w:hint="eastAsia" w:ascii="宋体" w:hAnsi="宋体" w:eastAsia="宋体" w:cs="宋体"/>
          <w:b w:val="0"/>
          <w:bCs/>
          <w:sz w:val="21"/>
          <w:szCs w:val="21"/>
        </w:rPr>
        <w:t>所提供的软件系统运行稳定、性能良好。</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8.2</w:t>
      </w:r>
      <w:bookmarkEnd w:id="258"/>
      <w:bookmarkEnd w:id="259"/>
      <w:bookmarkEnd w:id="260"/>
      <w:bookmarkEnd w:id="261"/>
      <w:bookmarkEnd w:id="262"/>
      <w:r>
        <w:rPr>
          <w:rFonts w:hint="eastAsia" w:ascii="宋体" w:hAnsi="宋体" w:eastAsia="宋体" w:cs="宋体"/>
          <w:b w:val="0"/>
          <w:bCs/>
          <w:sz w:val="21"/>
          <w:szCs w:val="21"/>
        </w:rPr>
        <w:t>乙方应通过合法的渠道采购符合中国法律法规规定的货物（不得采购通过走私等非法渠道而入境销售的货物，即便该货物的质量符合本合同的要求），并对其质量负责。在乙方采购上述货物后，应及时将采购凭证复印件交由甲方备案，该复印件须加盖乙方公章并标明与原件核对无误字样。</w:t>
      </w:r>
    </w:p>
    <w:p>
      <w:pPr>
        <w:pStyle w:val="5"/>
        <w:rPr>
          <w:rFonts w:ascii="宋体" w:hAnsi="宋体" w:eastAsia="宋体" w:cs="宋体"/>
          <w:bCs w:val="0"/>
          <w:szCs w:val="21"/>
        </w:rPr>
      </w:pPr>
      <w:bookmarkStart w:id="263" w:name="_Toc470191677"/>
      <w:bookmarkStart w:id="264" w:name="_Toc239563637"/>
      <w:bookmarkStart w:id="265" w:name="_Toc239563534"/>
      <w:bookmarkStart w:id="266" w:name="_Toc68495010"/>
      <w:bookmarkStart w:id="267" w:name="_Toc268531754"/>
      <w:r>
        <w:rPr>
          <w:rFonts w:hint="eastAsia" w:ascii="宋体" w:hAnsi="宋体" w:eastAsia="宋体" w:cs="宋体"/>
          <w:szCs w:val="21"/>
        </w:rPr>
        <w:t>9、第三方法律纠纷</w:t>
      </w:r>
      <w:bookmarkEnd w:id="263"/>
      <w:bookmarkEnd w:id="264"/>
      <w:bookmarkEnd w:id="265"/>
      <w:bookmarkEnd w:id="266"/>
      <w:bookmarkEnd w:id="267"/>
    </w:p>
    <w:p>
      <w:pPr>
        <w:pStyle w:val="60"/>
        <w:tabs>
          <w:tab w:val="left" w:pos="993"/>
          <w:tab w:val="clear" w:pos="992"/>
        </w:tabs>
        <w:ind w:left="0" w:firstLine="0"/>
        <w:rPr>
          <w:rFonts w:ascii="宋体" w:hAnsi="宋体" w:eastAsia="宋体" w:cs="宋体"/>
          <w:szCs w:val="21"/>
        </w:rPr>
      </w:pPr>
      <w:r>
        <w:rPr>
          <w:rFonts w:hint="eastAsia" w:ascii="宋体" w:hAnsi="宋体" w:eastAsia="宋体" w:cs="宋体"/>
          <w:szCs w:val="21"/>
        </w:rPr>
        <w:t>9.1  乙方须保障甲方在使用其提供的系统、服务及其任何部分时不受到第三方提出关于侵犯知识产权以及非法使用等方面的法律指控。任何第三方如果提出这样的指控，乙方须与第三方交涉并承担由此而引起的一切法律责任、费用和甲方的实际损失，与甲方 无关，甲方 不承担由此引起的任何法律责任。</w:t>
      </w:r>
    </w:p>
    <w:p>
      <w:pPr>
        <w:pStyle w:val="5"/>
        <w:rPr>
          <w:rFonts w:ascii="宋体" w:hAnsi="宋体" w:eastAsia="宋体" w:cs="宋体"/>
          <w:bCs w:val="0"/>
          <w:szCs w:val="21"/>
        </w:rPr>
      </w:pPr>
      <w:bookmarkStart w:id="268" w:name="_Toc239563638"/>
      <w:bookmarkStart w:id="269" w:name="_Toc68495011"/>
      <w:bookmarkStart w:id="270" w:name="_Toc470191678"/>
      <w:bookmarkStart w:id="271" w:name="_Toc268531755"/>
      <w:bookmarkStart w:id="272" w:name="_Toc239563535"/>
      <w:r>
        <w:rPr>
          <w:rFonts w:hint="eastAsia" w:ascii="宋体" w:hAnsi="宋体" w:eastAsia="宋体" w:cs="宋体"/>
          <w:szCs w:val="21"/>
        </w:rPr>
        <w:t>10、包装要求</w:t>
      </w:r>
      <w:bookmarkEnd w:id="268"/>
      <w:bookmarkEnd w:id="269"/>
      <w:bookmarkEnd w:id="270"/>
      <w:bookmarkEnd w:id="271"/>
      <w:bookmarkEnd w:id="272"/>
    </w:p>
    <w:p>
      <w:pPr>
        <w:pStyle w:val="60"/>
        <w:tabs>
          <w:tab w:val="left" w:pos="709"/>
          <w:tab w:val="left" w:pos="993"/>
          <w:tab w:val="clear" w:pos="992"/>
        </w:tabs>
        <w:ind w:left="0" w:firstLine="0"/>
        <w:rPr>
          <w:rFonts w:ascii="宋体" w:hAnsi="宋体" w:eastAsia="宋体" w:cs="宋体"/>
          <w:szCs w:val="21"/>
        </w:rPr>
      </w:pPr>
      <w:r>
        <w:rPr>
          <w:rFonts w:hint="eastAsia" w:ascii="宋体" w:hAnsi="宋体" w:eastAsia="宋体" w:cs="宋体"/>
          <w:szCs w:val="21"/>
        </w:rPr>
        <w:t>10.1</w:t>
      </w:r>
      <w:r>
        <w:rPr>
          <w:rFonts w:hint="eastAsia" w:ascii="宋体" w:hAnsi="宋体" w:eastAsia="宋体" w:cs="宋体"/>
          <w:szCs w:val="21"/>
        </w:rPr>
        <w:tab/>
      </w:r>
      <w:r>
        <w:rPr>
          <w:rFonts w:hint="eastAsia" w:ascii="宋体" w:hAnsi="宋体" w:eastAsia="宋体" w:cs="宋体"/>
          <w:szCs w:val="21"/>
        </w:rPr>
        <w:t>除非本合同另有规定，乙方提供的全部货物须采用相应标准的保护措施进行包装，以确保货物安全无损运抵现场。乙方应承担由于包装或防护措施不当而引起货物损坏和丢失的任何损失的责任和费用。</w:t>
      </w:r>
    </w:p>
    <w:p>
      <w:pPr>
        <w:pStyle w:val="5"/>
        <w:rPr>
          <w:rFonts w:ascii="宋体" w:hAnsi="宋体" w:eastAsia="宋体" w:cs="宋体"/>
          <w:bCs w:val="0"/>
          <w:szCs w:val="21"/>
        </w:rPr>
      </w:pPr>
      <w:bookmarkStart w:id="273" w:name="_Toc470191679"/>
      <w:bookmarkStart w:id="274" w:name="_Toc68495012"/>
      <w:bookmarkStart w:id="275" w:name="_Toc239563639"/>
      <w:bookmarkStart w:id="276" w:name="_Toc239563536"/>
      <w:bookmarkStart w:id="277" w:name="_Toc268531756"/>
      <w:r>
        <w:rPr>
          <w:rFonts w:hint="eastAsia" w:ascii="宋体" w:hAnsi="宋体" w:eastAsia="宋体" w:cs="宋体"/>
          <w:szCs w:val="21"/>
        </w:rPr>
        <w:t>11、技术资料</w:t>
      </w:r>
      <w:bookmarkEnd w:id="273"/>
      <w:bookmarkEnd w:id="274"/>
      <w:bookmarkEnd w:id="275"/>
      <w:bookmarkEnd w:id="276"/>
      <w:bookmarkEnd w:id="277"/>
    </w:p>
    <w:p>
      <w:pPr>
        <w:pStyle w:val="60"/>
        <w:tabs>
          <w:tab w:val="left" w:pos="709"/>
          <w:tab w:val="clear" w:pos="992"/>
        </w:tabs>
        <w:ind w:left="0" w:firstLine="0"/>
        <w:rPr>
          <w:rFonts w:ascii="宋体" w:hAnsi="宋体" w:eastAsia="宋体" w:cs="宋体"/>
          <w:szCs w:val="21"/>
        </w:rPr>
      </w:pPr>
      <w:r>
        <w:rPr>
          <w:rFonts w:hint="eastAsia" w:ascii="宋体" w:hAnsi="宋体" w:eastAsia="宋体" w:cs="宋体"/>
          <w:szCs w:val="21"/>
        </w:rPr>
        <w:t>11.1</w:t>
      </w:r>
      <w:r>
        <w:rPr>
          <w:rFonts w:hint="eastAsia" w:ascii="宋体" w:hAnsi="宋体" w:eastAsia="宋体" w:cs="宋体"/>
          <w:szCs w:val="21"/>
        </w:rPr>
        <w:tab/>
      </w:r>
      <w:r>
        <w:rPr>
          <w:rFonts w:hint="eastAsia" w:ascii="宋体" w:hAnsi="宋体" w:eastAsia="宋体" w:cs="宋体"/>
          <w:szCs w:val="21"/>
        </w:rPr>
        <w:t>除另有规定外，乙方应向甲方提供内容相同的合同所约定系统的中文技术资料两份（其中一份为原件，另一份可以是影印件或其它形式的副本）及两份电子文挡，包括技术说明书、操作手册、数据字典、使用指南、维修指南和服务手册等，以及在项目实施过程中产生的其它技术资料。</w:t>
      </w:r>
    </w:p>
    <w:p>
      <w:pPr>
        <w:pStyle w:val="60"/>
        <w:tabs>
          <w:tab w:val="left" w:pos="709"/>
          <w:tab w:val="clear" w:pos="992"/>
        </w:tabs>
        <w:ind w:left="0" w:firstLine="0"/>
        <w:rPr>
          <w:rFonts w:ascii="宋体" w:hAnsi="宋体" w:eastAsia="宋体" w:cs="宋体"/>
          <w:szCs w:val="21"/>
        </w:rPr>
      </w:pPr>
      <w:r>
        <w:rPr>
          <w:rFonts w:hint="eastAsia" w:ascii="宋体" w:hAnsi="宋体" w:eastAsia="宋体" w:cs="宋体"/>
          <w:szCs w:val="21"/>
        </w:rPr>
        <w:t>11.2</w:t>
      </w:r>
      <w:r>
        <w:rPr>
          <w:rFonts w:hint="eastAsia" w:ascii="宋体" w:hAnsi="宋体" w:eastAsia="宋体" w:cs="宋体"/>
          <w:szCs w:val="21"/>
        </w:rPr>
        <w:tab/>
      </w:r>
      <w:r>
        <w:rPr>
          <w:rFonts w:hint="eastAsia" w:ascii="宋体" w:hAnsi="宋体" w:eastAsia="宋体" w:cs="宋体"/>
          <w:szCs w:val="21"/>
        </w:rPr>
        <w:t>如果乙方提供的技术资料不完整或在运输过程中丢失，乙方应在收到甲方通知后立即免费重新提供。</w:t>
      </w:r>
    </w:p>
    <w:p>
      <w:pPr>
        <w:pStyle w:val="5"/>
        <w:rPr>
          <w:rFonts w:ascii="宋体" w:hAnsi="宋体" w:eastAsia="宋体" w:cs="宋体"/>
          <w:bCs w:val="0"/>
          <w:szCs w:val="21"/>
        </w:rPr>
      </w:pPr>
      <w:bookmarkStart w:id="278" w:name="_Toc69216868"/>
      <w:bookmarkEnd w:id="278"/>
      <w:bookmarkStart w:id="279" w:name="_Toc69208658"/>
      <w:bookmarkEnd w:id="279"/>
      <w:bookmarkStart w:id="280" w:name="_Toc69216869"/>
      <w:bookmarkEnd w:id="280"/>
      <w:bookmarkStart w:id="281" w:name="_Toc69216779"/>
      <w:bookmarkEnd w:id="281"/>
      <w:bookmarkStart w:id="282" w:name="_Toc69216778"/>
      <w:bookmarkEnd w:id="282"/>
      <w:bookmarkStart w:id="283" w:name="_Toc268531758"/>
      <w:bookmarkStart w:id="284" w:name="_Toc68495014"/>
      <w:bookmarkStart w:id="285" w:name="_Toc470191681"/>
      <w:bookmarkStart w:id="286" w:name="_Toc239563538"/>
      <w:bookmarkStart w:id="287" w:name="_Toc239563641"/>
      <w:r>
        <w:rPr>
          <w:rFonts w:hint="eastAsia" w:ascii="宋体" w:hAnsi="宋体" w:eastAsia="宋体" w:cs="宋体"/>
          <w:szCs w:val="21"/>
        </w:rPr>
        <w:t>12、税费</w:t>
      </w:r>
      <w:bookmarkEnd w:id="283"/>
      <w:bookmarkEnd w:id="284"/>
      <w:bookmarkEnd w:id="285"/>
      <w:bookmarkEnd w:id="286"/>
      <w:bookmarkEnd w:id="287"/>
    </w:p>
    <w:p>
      <w:pPr>
        <w:pStyle w:val="60"/>
        <w:tabs>
          <w:tab w:val="left" w:pos="1260"/>
          <w:tab w:val="clear" w:pos="992"/>
        </w:tabs>
        <w:ind w:left="0" w:firstLine="0"/>
        <w:rPr>
          <w:rFonts w:ascii="宋体" w:hAnsi="宋体" w:eastAsia="宋体" w:cs="宋体"/>
          <w:szCs w:val="21"/>
        </w:rPr>
      </w:pPr>
      <w:r>
        <w:rPr>
          <w:rFonts w:hint="eastAsia" w:ascii="宋体" w:hAnsi="宋体" w:eastAsia="宋体" w:cs="宋体"/>
          <w:szCs w:val="21"/>
        </w:rPr>
        <w:t>12.1中国政府根据现行税务法规向甲方征收的与履行本合同有关的一切税费均由甲方支付。</w:t>
      </w:r>
    </w:p>
    <w:p>
      <w:pPr>
        <w:pStyle w:val="60"/>
        <w:tabs>
          <w:tab w:val="left" w:pos="993"/>
          <w:tab w:val="left" w:pos="1260"/>
          <w:tab w:val="clear" w:pos="992"/>
        </w:tabs>
        <w:ind w:left="0" w:firstLine="0"/>
        <w:rPr>
          <w:rFonts w:ascii="宋体" w:hAnsi="宋体" w:eastAsia="宋体" w:cs="宋体"/>
          <w:szCs w:val="21"/>
        </w:rPr>
      </w:pPr>
      <w:r>
        <w:rPr>
          <w:rFonts w:hint="eastAsia" w:ascii="宋体" w:hAnsi="宋体" w:eastAsia="宋体" w:cs="宋体"/>
          <w:szCs w:val="21"/>
        </w:rPr>
        <w:t>12.2中国政府根据现行税务法规向乙方征收的与履行本合同有关的一切税费均由乙方支付。</w:t>
      </w:r>
    </w:p>
    <w:p>
      <w:pPr>
        <w:pStyle w:val="60"/>
        <w:tabs>
          <w:tab w:val="left" w:pos="630"/>
          <w:tab w:val="left" w:pos="1260"/>
          <w:tab w:val="clear" w:pos="992"/>
        </w:tabs>
        <w:ind w:left="0" w:firstLine="0"/>
        <w:rPr>
          <w:rFonts w:ascii="宋体" w:hAnsi="宋体" w:eastAsia="宋体" w:cs="宋体"/>
          <w:szCs w:val="21"/>
        </w:rPr>
      </w:pPr>
      <w:r>
        <w:rPr>
          <w:rFonts w:hint="eastAsia" w:ascii="宋体" w:hAnsi="宋体" w:eastAsia="宋体" w:cs="宋体"/>
          <w:szCs w:val="21"/>
        </w:rPr>
        <w:t>12.3</w:t>
      </w:r>
      <w:r>
        <w:rPr>
          <w:rFonts w:hint="eastAsia" w:ascii="宋体" w:hAnsi="宋体" w:eastAsia="宋体" w:cs="宋体"/>
          <w:szCs w:val="21"/>
        </w:rPr>
        <w:tab/>
      </w:r>
      <w:r>
        <w:rPr>
          <w:rFonts w:hint="eastAsia" w:ascii="宋体" w:hAnsi="宋体" w:eastAsia="宋体" w:cs="宋体"/>
          <w:szCs w:val="21"/>
        </w:rPr>
        <w:t>发生在中国大陆地区外的与履行本合同有关的一切税费，由乙方支付。</w:t>
      </w:r>
    </w:p>
    <w:p>
      <w:pPr>
        <w:pStyle w:val="5"/>
        <w:rPr>
          <w:rFonts w:ascii="宋体" w:hAnsi="宋体" w:eastAsia="宋体" w:cs="宋体"/>
          <w:szCs w:val="21"/>
        </w:rPr>
      </w:pPr>
      <w:bookmarkStart w:id="288" w:name="_Toc239563642"/>
      <w:bookmarkStart w:id="289" w:name="_Toc239563539"/>
      <w:bookmarkStart w:id="290" w:name="_Toc68495015"/>
      <w:bookmarkStart w:id="291" w:name="_Toc268531759"/>
      <w:bookmarkStart w:id="292" w:name="_Toc470191682"/>
      <w:r>
        <w:rPr>
          <w:rFonts w:hint="eastAsia" w:ascii="宋体" w:hAnsi="宋体" w:eastAsia="宋体" w:cs="宋体"/>
          <w:szCs w:val="21"/>
        </w:rPr>
        <w:t>13、责任与权力</w:t>
      </w:r>
    </w:p>
    <w:p>
      <w:pPr>
        <w:pStyle w:val="11"/>
        <w:snapToGrid w:val="0"/>
        <w:rPr>
          <w:rFonts w:ascii="宋体" w:hAnsi="宋体" w:eastAsia="宋体" w:cs="宋体"/>
        </w:rPr>
      </w:pPr>
      <w:r>
        <w:rPr>
          <w:rFonts w:hint="eastAsia" w:ascii="宋体" w:hAnsi="宋体" w:eastAsia="宋体" w:cs="宋体"/>
        </w:rPr>
        <w:t>13.1甲方的责任与权利</w:t>
      </w:r>
    </w:p>
    <w:p>
      <w:pPr>
        <w:pStyle w:val="11"/>
        <w:snapToGrid w:val="0"/>
        <w:rPr>
          <w:rFonts w:ascii="宋体" w:hAnsi="宋体" w:eastAsia="宋体" w:cs="宋体"/>
          <w:b/>
          <w:bCs/>
        </w:rPr>
      </w:pPr>
      <w:r>
        <w:rPr>
          <w:rFonts w:hint="eastAsia" w:ascii="宋体" w:hAnsi="宋体" w:eastAsia="宋体" w:cs="宋体"/>
          <w:b/>
          <w:bCs/>
        </w:rPr>
        <w:t>13.1.1甲方的责任</w:t>
      </w:r>
    </w:p>
    <w:p>
      <w:pPr>
        <w:pStyle w:val="11"/>
        <w:snapToGrid w:val="0"/>
        <w:ind w:firstLine="420" w:firstLineChars="200"/>
        <w:rPr>
          <w:rFonts w:ascii="宋体" w:hAnsi="宋体" w:eastAsia="宋体" w:cs="宋体"/>
        </w:rPr>
      </w:pPr>
      <w:r>
        <w:rPr>
          <w:rFonts w:hint="eastAsia" w:ascii="宋体" w:hAnsi="宋体" w:eastAsia="宋体" w:cs="宋体"/>
        </w:rPr>
        <w:t>（1）甲方需密切配合乙方在合理的范围内进行项目需求调研，并书面确认需求调研结果。</w:t>
      </w:r>
    </w:p>
    <w:p>
      <w:pPr>
        <w:pStyle w:val="11"/>
        <w:snapToGrid w:val="0"/>
        <w:ind w:firstLine="420" w:firstLineChars="200"/>
        <w:rPr>
          <w:rFonts w:ascii="宋体" w:hAnsi="宋体" w:eastAsia="宋体" w:cs="宋体"/>
        </w:rPr>
      </w:pPr>
      <w:r>
        <w:rPr>
          <w:rFonts w:hint="eastAsia" w:ascii="宋体" w:hAnsi="宋体" w:eastAsia="宋体" w:cs="宋体"/>
        </w:rPr>
        <w:t>（2）甲方应按照甲乙双方共同制定项目实施计划开展相应工作。在乙方实施期间，甲方需免费为乙方提供适当的办公场地，并配合乙方进行系统的开发、实施及集成活动，在乙方合理的要求范围内，尽量为乙方提供便利条件。</w:t>
      </w:r>
    </w:p>
    <w:p>
      <w:pPr>
        <w:pStyle w:val="11"/>
        <w:snapToGrid w:val="0"/>
        <w:ind w:firstLine="420" w:firstLineChars="200"/>
        <w:rPr>
          <w:rFonts w:ascii="宋体" w:hAnsi="宋体" w:eastAsia="宋体" w:cs="宋体"/>
        </w:rPr>
      </w:pPr>
      <w:r>
        <w:rPr>
          <w:rFonts w:hint="eastAsia" w:ascii="宋体" w:hAnsi="宋体" w:eastAsia="宋体" w:cs="宋体"/>
        </w:rPr>
        <w:t>（3）甲方对乙方向甲方提供的内部资料予以保密，且不向任何第三方泄露乙方的商业机密和技术机密。甲方应妥善保管软件系统及服务接口安全，不得将接口向任何第三方泄露、许可使用或赠与、转让、出借、租赁或用于其他目的。</w:t>
      </w:r>
    </w:p>
    <w:p>
      <w:pPr>
        <w:pStyle w:val="11"/>
        <w:snapToGrid w:val="0"/>
        <w:ind w:firstLine="420" w:firstLineChars="200"/>
        <w:rPr>
          <w:rFonts w:ascii="宋体" w:hAnsi="宋体" w:eastAsia="宋体" w:cs="宋体"/>
        </w:rPr>
      </w:pPr>
      <w:r>
        <w:rPr>
          <w:rFonts w:hint="eastAsia" w:ascii="宋体" w:hAnsi="宋体" w:eastAsia="宋体" w:cs="宋体"/>
        </w:rPr>
        <w:t>（4）甲方应指定专人配合乙方现场人员出入任何实施及开发工作场地。</w:t>
      </w:r>
    </w:p>
    <w:p>
      <w:pPr>
        <w:pStyle w:val="11"/>
        <w:snapToGrid w:val="0"/>
        <w:ind w:firstLine="420" w:firstLineChars="200"/>
        <w:rPr>
          <w:rFonts w:ascii="宋体" w:hAnsi="宋体" w:eastAsia="宋体" w:cs="宋体"/>
        </w:rPr>
      </w:pPr>
      <w:r>
        <w:rPr>
          <w:rFonts w:hint="eastAsia" w:ascii="宋体" w:hAnsi="宋体" w:eastAsia="宋体" w:cs="宋体"/>
        </w:rPr>
        <w:t>（5）</w:t>
      </w:r>
      <w:r>
        <w:rPr>
          <w:rFonts w:hint="eastAsia" w:ascii="宋体" w:hAnsi="宋体" w:eastAsia="宋体" w:cs="宋体"/>
          <w:sz w:val="22"/>
          <w:szCs w:val="22"/>
        </w:rPr>
        <w:t>甲方负责组织由乙方提供的技术培训工作。</w:t>
      </w:r>
    </w:p>
    <w:p>
      <w:pPr>
        <w:pStyle w:val="11"/>
        <w:snapToGrid w:val="0"/>
        <w:rPr>
          <w:rFonts w:ascii="宋体" w:hAnsi="宋体" w:eastAsia="宋体" w:cs="宋体"/>
          <w:b/>
          <w:bCs/>
        </w:rPr>
      </w:pPr>
      <w:r>
        <w:rPr>
          <w:rFonts w:hint="eastAsia" w:ascii="宋体" w:hAnsi="宋体" w:eastAsia="宋体" w:cs="宋体"/>
          <w:b/>
          <w:bCs/>
        </w:rPr>
        <w:t>13.1.2甲方的权利</w:t>
      </w:r>
    </w:p>
    <w:p>
      <w:pPr>
        <w:pStyle w:val="11"/>
        <w:snapToGrid w:val="0"/>
        <w:ind w:firstLine="420" w:firstLineChars="200"/>
        <w:rPr>
          <w:rFonts w:ascii="宋体" w:hAnsi="宋体" w:eastAsia="宋体" w:cs="宋体"/>
        </w:rPr>
      </w:pPr>
      <w:r>
        <w:rPr>
          <w:rFonts w:hint="eastAsia" w:ascii="宋体" w:hAnsi="宋体" w:eastAsia="宋体" w:cs="宋体"/>
        </w:rPr>
        <w:t>（1）甲方有权了解系统采用的各种技术特性。</w:t>
      </w:r>
    </w:p>
    <w:p>
      <w:pPr>
        <w:pStyle w:val="11"/>
        <w:snapToGrid w:val="0"/>
        <w:ind w:firstLine="420" w:firstLineChars="200"/>
        <w:rPr>
          <w:rFonts w:ascii="宋体" w:hAnsi="宋体" w:eastAsia="宋体" w:cs="宋体"/>
        </w:rPr>
      </w:pPr>
      <w:r>
        <w:rPr>
          <w:rFonts w:hint="eastAsia" w:ascii="宋体" w:hAnsi="宋体" w:eastAsia="宋体" w:cs="宋体"/>
        </w:rPr>
        <w:t>（2）甲方有权对系统中的技术问题提出质疑，并组织有关研讨会，寻求解决办法，要求乙方解决。甲方</w:t>
      </w:r>
      <w:r>
        <w:rPr>
          <w:rFonts w:hint="eastAsia" w:ascii="宋体" w:hAnsi="宋体" w:eastAsia="宋体" w:cs="宋体"/>
          <w:sz w:val="22"/>
          <w:szCs w:val="22"/>
        </w:rPr>
        <w:t>保留根据实际工作需求，提出对项目建设方案进行适当修改的权利。</w:t>
      </w:r>
    </w:p>
    <w:p>
      <w:pPr>
        <w:pStyle w:val="11"/>
        <w:snapToGrid w:val="0"/>
        <w:ind w:firstLine="420" w:firstLineChars="200"/>
        <w:rPr>
          <w:rFonts w:ascii="宋体" w:hAnsi="宋体" w:eastAsia="宋体" w:cs="宋体"/>
        </w:rPr>
      </w:pPr>
      <w:r>
        <w:rPr>
          <w:rFonts w:hint="eastAsia" w:ascii="宋体" w:hAnsi="宋体" w:eastAsia="宋体" w:cs="宋体"/>
        </w:rPr>
        <w:t>（3）甲方对乙方项目组人员的工作态度、工作技能有不满意的时候，有向乙方主管和管理高层投诉的权利,并有权提出更换乙方项目小组成员的要求，乙方应在一周内作出回应并进行人员的重新调整。情节严重时（出现包括不仅限于随意更换项目主要技术开发人员，拖延项目工期、影响工作质量等情况），有权进行采取没收履约保证金等处罚措施。</w:t>
      </w:r>
    </w:p>
    <w:p>
      <w:pPr>
        <w:pStyle w:val="11"/>
        <w:snapToGrid w:val="0"/>
        <w:rPr>
          <w:rFonts w:ascii="宋体" w:hAnsi="宋体" w:eastAsia="宋体" w:cs="宋体"/>
          <w:b/>
          <w:bCs/>
        </w:rPr>
      </w:pPr>
      <w:r>
        <w:rPr>
          <w:rFonts w:hint="eastAsia" w:ascii="宋体" w:hAnsi="宋体" w:eastAsia="宋体" w:cs="宋体"/>
          <w:b/>
          <w:bCs/>
        </w:rPr>
        <w:t>13.2乙方的责任与权利</w:t>
      </w:r>
    </w:p>
    <w:p>
      <w:pPr>
        <w:pStyle w:val="11"/>
        <w:snapToGrid w:val="0"/>
        <w:rPr>
          <w:rFonts w:ascii="宋体" w:hAnsi="宋体" w:eastAsia="宋体" w:cs="宋体"/>
        </w:rPr>
      </w:pPr>
      <w:r>
        <w:rPr>
          <w:rFonts w:hint="eastAsia" w:ascii="宋体" w:hAnsi="宋体" w:eastAsia="宋体" w:cs="宋体"/>
        </w:rPr>
        <w:t>13.2.1乙方的责任</w:t>
      </w:r>
    </w:p>
    <w:p>
      <w:pPr>
        <w:pStyle w:val="11"/>
        <w:snapToGrid w:val="0"/>
        <w:ind w:firstLine="420" w:firstLineChars="200"/>
        <w:rPr>
          <w:rFonts w:ascii="宋体" w:hAnsi="宋体" w:eastAsia="宋体" w:cs="宋体"/>
        </w:rPr>
      </w:pPr>
      <w:r>
        <w:rPr>
          <w:rFonts w:hint="eastAsia" w:ascii="宋体" w:hAnsi="宋体" w:eastAsia="宋体" w:cs="宋体"/>
        </w:rPr>
        <w:t>（1）乙方负责建立合理健全的管理规范与制度，对项目实施小组人员进行管理。</w:t>
      </w:r>
    </w:p>
    <w:p>
      <w:pPr>
        <w:pStyle w:val="11"/>
        <w:snapToGrid w:val="0"/>
        <w:ind w:firstLine="420" w:firstLineChars="200"/>
        <w:rPr>
          <w:rFonts w:ascii="宋体" w:hAnsi="宋体" w:eastAsia="宋体" w:cs="宋体"/>
        </w:rPr>
      </w:pPr>
      <w:r>
        <w:rPr>
          <w:rFonts w:hint="eastAsia" w:ascii="宋体" w:hAnsi="宋体" w:eastAsia="宋体" w:cs="宋体"/>
        </w:rPr>
        <w:t>（2）乙方提供乙方人员进行项目建设所必须的办公设备、办公软件及开发软件，因乙方人员使用办公软件、开发软件进行项目建设而引起的专利、版权纠纷由乙方负责。</w:t>
      </w:r>
    </w:p>
    <w:p>
      <w:pPr>
        <w:pStyle w:val="11"/>
        <w:snapToGrid w:val="0"/>
        <w:ind w:firstLine="420" w:firstLineChars="200"/>
        <w:rPr>
          <w:rFonts w:ascii="宋体" w:hAnsi="宋体" w:eastAsia="宋体" w:cs="宋体"/>
        </w:rPr>
      </w:pPr>
      <w:r>
        <w:rPr>
          <w:rFonts w:hint="eastAsia" w:ascii="宋体" w:hAnsi="宋体" w:eastAsia="宋体" w:cs="宋体"/>
        </w:rPr>
        <w:t>（3）乙方应对甲方的需求调研结果、需求要点说明书、系统体系架构、涉及到的客户资料等以及其它甲方机密信息进行保密。如果乙方人员（包括离职后）违反规定发生泄密事件，乙方将承担相关法律责任，甲方保留提起诉讼的权利。乙方对外宣传中涉及双方合作关系或甲方信息的，应经甲方书面同意。</w:t>
      </w:r>
    </w:p>
    <w:p>
      <w:pPr>
        <w:pStyle w:val="11"/>
        <w:snapToGrid w:val="0"/>
        <w:ind w:firstLine="420" w:firstLineChars="200"/>
        <w:rPr>
          <w:rFonts w:ascii="宋体" w:hAnsi="宋体" w:eastAsia="宋体" w:cs="宋体"/>
        </w:rPr>
      </w:pPr>
      <w:r>
        <w:rPr>
          <w:rFonts w:hint="eastAsia" w:ascii="宋体" w:hAnsi="宋体" w:eastAsia="宋体" w:cs="宋体"/>
        </w:rPr>
        <w:t>（4）乙方应保证提供的云服务器的基础运行环境（硬件环境、操作系统、数据库系统、安全保障），并确保各种配套环境（网络）的稳定、可靠。</w:t>
      </w:r>
    </w:p>
    <w:p>
      <w:pPr>
        <w:pStyle w:val="11"/>
        <w:snapToGrid w:val="0"/>
        <w:ind w:firstLine="420" w:firstLineChars="200"/>
        <w:rPr>
          <w:rFonts w:ascii="宋体" w:hAnsi="宋体" w:eastAsia="宋体" w:cs="宋体"/>
        </w:rPr>
      </w:pPr>
      <w:r>
        <w:rPr>
          <w:rFonts w:hint="eastAsia" w:ascii="宋体" w:hAnsi="宋体" w:eastAsia="宋体" w:cs="宋体"/>
        </w:rPr>
        <w:t>（5）乙方内部发生变化，如果与本系统实施、开发及集成有关或使系统运维受到影响时，乙方应以书面形式通知甲方，并确认新的配合流程。</w:t>
      </w:r>
    </w:p>
    <w:p>
      <w:pPr>
        <w:pStyle w:val="11"/>
        <w:snapToGrid w:val="0"/>
        <w:ind w:firstLine="420" w:firstLineChars="200"/>
        <w:rPr>
          <w:rFonts w:ascii="宋体" w:hAnsi="宋体" w:eastAsia="宋体" w:cs="宋体"/>
        </w:rPr>
      </w:pPr>
      <w:r>
        <w:rPr>
          <w:rFonts w:hint="eastAsia" w:ascii="宋体" w:hAnsi="宋体" w:eastAsia="宋体" w:cs="宋体"/>
        </w:rPr>
        <w:t>（6）乙方应对系统中有可能发生故障的情况尽早作出提示，无论引起的责任是否在乙方，乙方均应配合甲方共同解决问题。</w:t>
      </w:r>
    </w:p>
    <w:p>
      <w:pPr>
        <w:pStyle w:val="11"/>
        <w:snapToGrid w:val="0"/>
        <w:ind w:firstLine="440" w:firstLineChars="200"/>
        <w:rPr>
          <w:rFonts w:ascii="宋体" w:hAnsi="宋体" w:eastAsia="宋体" w:cs="宋体"/>
        </w:rPr>
      </w:pPr>
      <w:r>
        <w:rPr>
          <w:rFonts w:hint="eastAsia" w:ascii="宋体" w:hAnsi="宋体" w:eastAsia="宋体" w:cs="宋体"/>
          <w:sz w:val="22"/>
          <w:szCs w:val="22"/>
          <w:lang w:val="zh-CN"/>
        </w:rPr>
        <w:t>为保障项目的顺利实施，防范项目风险，避免因沟通不畅等原因引起项目执行问题，乙方应定期向甲方项目负责人及相关领导对项目执行状况、问题、风险进行汇报</w:t>
      </w:r>
    </w:p>
    <w:p>
      <w:pPr>
        <w:pStyle w:val="11"/>
        <w:snapToGrid w:val="0"/>
        <w:ind w:firstLine="420" w:firstLineChars="200"/>
        <w:rPr>
          <w:rFonts w:ascii="宋体" w:hAnsi="宋体" w:eastAsia="宋体" w:cs="宋体"/>
        </w:rPr>
      </w:pPr>
      <w:r>
        <w:rPr>
          <w:rFonts w:hint="eastAsia" w:ascii="宋体" w:hAnsi="宋体" w:eastAsia="宋体" w:cs="宋体"/>
        </w:rPr>
        <w:t>（7）乙方应指导甲方业务操作人员最大限度地使用好系统。乙方在重大系统调整或关键应用实施完成后，需要免费对甲方进行使用和维护的培训。</w:t>
      </w:r>
    </w:p>
    <w:p>
      <w:pPr>
        <w:pStyle w:val="11"/>
        <w:snapToGrid w:val="0"/>
        <w:ind w:firstLine="420" w:firstLineChars="200"/>
        <w:rPr>
          <w:rFonts w:ascii="宋体" w:hAnsi="宋体" w:eastAsia="宋体" w:cs="宋体"/>
        </w:rPr>
      </w:pPr>
      <w:r>
        <w:rPr>
          <w:rFonts w:hint="eastAsia" w:ascii="宋体" w:hAnsi="宋体" w:eastAsia="宋体" w:cs="宋体"/>
        </w:rPr>
        <w:t>（8）乙方应提供系统的详细材料，包括接口规范、数据库的数据字典等，并根据甲方要求配合第三方开发商，免费完成系统接口开发工作。如因第三方开发的系统及硬件不能提供或不具备满足乙方要求的接口或执行机构，乙方不承担责任。</w:t>
      </w:r>
    </w:p>
    <w:p>
      <w:pPr>
        <w:pStyle w:val="11"/>
        <w:snapToGrid w:val="0"/>
        <w:ind w:firstLine="420" w:firstLineChars="200"/>
        <w:rPr>
          <w:rFonts w:ascii="宋体" w:hAnsi="宋体" w:eastAsia="宋体" w:cs="宋体"/>
        </w:rPr>
      </w:pPr>
      <w:r>
        <w:rPr>
          <w:rFonts w:hint="eastAsia" w:ascii="宋体" w:hAnsi="宋体" w:eastAsia="宋体" w:cs="宋体"/>
        </w:rPr>
        <w:t>（9）未经甲方批准同意，乙方不得随意更换项目负责人和主要技术开发人员。</w:t>
      </w:r>
    </w:p>
    <w:p>
      <w:pPr>
        <w:pStyle w:val="11"/>
        <w:snapToGrid w:val="0"/>
        <w:rPr>
          <w:rFonts w:ascii="宋体" w:hAnsi="宋体" w:eastAsia="宋体" w:cs="宋体"/>
        </w:rPr>
      </w:pPr>
      <w:r>
        <w:rPr>
          <w:rFonts w:hint="eastAsia" w:ascii="宋体" w:hAnsi="宋体" w:eastAsia="宋体" w:cs="宋体"/>
        </w:rPr>
        <w:t>13.2.2乙方的权利</w:t>
      </w:r>
    </w:p>
    <w:p>
      <w:pPr>
        <w:pStyle w:val="11"/>
        <w:snapToGrid w:val="0"/>
        <w:ind w:firstLine="420" w:firstLineChars="200"/>
        <w:rPr>
          <w:rFonts w:ascii="宋体" w:hAnsi="宋体" w:eastAsia="宋体" w:cs="宋体"/>
        </w:rPr>
      </w:pPr>
      <w:r>
        <w:rPr>
          <w:rFonts w:hint="eastAsia" w:ascii="宋体" w:hAnsi="宋体" w:eastAsia="宋体" w:cs="宋体"/>
        </w:rPr>
        <w:t>（1）乙方有权根据实施、开发及集成的进展情况，根据实际工作需要，在保证人员资历水平不降低、服务质量不降低的前提下，在取得甲方书面同意的情况下，调整乙方的项目小组人员。如果因项目小组人员更替造成项目时间延误，乙方应向甲方作出相应的赔偿。</w:t>
      </w:r>
    </w:p>
    <w:p>
      <w:pPr>
        <w:pStyle w:val="11"/>
        <w:snapToGrid w:val="0"/>
        <w:ind w:firstLine="420" w:firstLineChars="200"/>
        <w:rPr>
          <w:rFonts w:ascii="宋体" w:hAnsi="宋体" w:eastAsia="宋体" w:cs="宋体"/>
        </w:rPr>
      </w:pPr>
      <w:r>
        <w:rPr>
          <w:rFonts w:hint="eastAsia" w:ascii="宋体" w:hAnsi="宋体" w:eastAsia="宋体" w:cs="宋体"/>
        </w:rPr>
        <w:t>（2）乙方有权在本合同规定的项目实施范围内工作。</w:t>
      </w:r>
    </w:p>
    <w:p>
      <w:pPr>
        <w:pStyle w:val="5"/>
        <w:rPr>
          <w:rFonts w:ascii="宋体" w:hAnsi="宋体" w:eastAsia="宋体" w:cs="宋体"/>
          <w:szCs w:val="21"/>
        </w:rPr>
      </w:pPr>
    </w:p>
    <w:p>
      <w:pPr>
        <w:pStyle w:val="5"/>
        <w:rPr>
          <w:rFonts w:ascii="宋体" w:hAnsi="宋体" w:eastAsia="宋体" w:cs="宋体"/>
          <w:bCs w:val="0"/>
          <w:szCs w:val="21"/>
        </w:rPr>
      </w:pPr>
      <w:r>
        <w:rPr>
          <w:rFonts w:hint="eastAsia" w:ascii="宋体" w:hAnsi="宋体" w:eastAsia="宋体" w:cs="宋体"/>
          <w:szCs w:val="21"/>
        </w:rPr>
        <w:t>14、合同变更</w:t>
      </w:r>
      <w:bookmarkEnd w:id="288"/>
      <w:bookmarkEnd w:id="289"/>
      <w:bookmarkEnd w:id="290"/>
      <w:bookmarkEnd w:id="291"/>
      <w:bookmarkEnd w:id="292"/>
      <w:r>
        <w:rPr>
          <w:rFonts w:hint="eastAsia" w:ascii="宋体" w:hAnsi="宋体" w:eastAsia="宋体" w:cs="宋体"/>
          <w:szCs w:val="21"/>
        </w:rPr>
        <w:t>、修改</w:t>
      </w:r>
    </w:p>
    <w:p>
      <w:pPr>
        <w:pStyle w:val="60"/>
        <w:tabs>
          <w:tab w:val="left" w:pos="900"/>
          <w:tab w:val="left" w:pos="993"/>
          <w:tab w:val="left" w:pos="1134"/>
          <w:tab w:val="clear" w:pos="992"/>
        </w:tabs>
        <w:ind w:left="0" w:firstLine="0"/>
        <w:rPr>
          <w:rFonts w:ascii="宋体" w:hAnsi="宋体" w:eastAsia="宋体" w:cs="宋体"/>
          <w:szCs w:val="21"/>
        </w:rPr>
      </w:pPr>
      <w:r>
        <w:rPr>
          <w:rFonts w:hint="eastAsia" w:ascii="宋体" w:hAnsi="宋体" w:eastAsia="宋体" w:cs="宋体"/>
          <w:szCs w:val="21"/>
        </w:rPr>
        <w:t>14.1为了确保系统的质量，在本合同签署后，甲方有权在履行本合同的过程中，在不改变系统框架及功能模块的前提下，合理地提出变更、替换或修改本项目的某些部分的建议，如遇增加系统的相应功能且工作量（以代码行数作为计算依据）超过原预计工作量的2%，在甲方签署变更联系单后，乙方应予以配合实施。</w:t>
      </w:r>
    </w:p>
    <w:p>
      <w:pPr>
        <w:pStyle w:val="60"/>
        <w:tabs>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14.2如出现政策、环境变化或不可抗力等触发合同变更或终止的因素，乙方应当配合甲方过渡期间的安排，共同保障甲方业务开展的连续性和稳定性。如需终止合同的，乙方应当配合甲方做好信息、资料及相关设施的交接处 置等过渡期间的工作安排.</w:t>
      </w:r>
    </w:p>
    <w:p>
      <w:pPr>
        <w:pStyle w:val="60"/>
        <w:tabs>
          <w:tab w:val="left" w:pos="426"/>
          <w:tab w:val="clear" w:pos="992"/>
        </w:tabs>
        <w:ind w:left="0" w:firstLine="0"/>
        <w:rPr>
          <w:rFonts w:ascii="宋体" w:hAnsi="宋体" w:eastAsia="宋体" w:cs="宋体"/>
          <w:szCs w:val="21"/>
        </w:rPr>
      </w:pPr>
      <w:r>
        <w:rPr>
          <w:rFonts w:hint="eastAsia" w:ascii="宋体" w:hAnsi="宋体" w:eastAsia="宋体" w:cs="宋体"/>
          <w:szCs w:val="21"/>
        </w:rPr>
        <w:t>14.3 任何一方欲对合同条款做出任何改动或偏离，均须由合同双方法人或授权代表签署书面的合同修改书。</w:t>
      </w:r>
    </w:p>
    <w:p>
      <w:pPr>
        <w:pStyle w:val="5"/>
        <w:rPr>
          <w:rFonts w:ascii="宋体" w:hAnsi="宋体" w:eastAsia="宋体" w:cs="宋体"/>
          <w:bCs w:val="0"/>
          <w:szCs w:val="21"/>
        </w:rPr>
      </w:pPr>
      <w:bookmarkStart w:id="293" w:name="_Toc470191684"/>
      <w:bookmarkStart w:id="294" w:name="_Toc239563644"/>
      <w:bookmarkStart w:id="295" w:name="_Toc239563541"/>
      <w:bookmarkStart w:id="296" w:name="_Toc268531761"/>
      <w:bookmarkStart w:id="297" w:name="_Toc68495017"/>
      <w:r>
        <w:rPr>
          <w:rFonts w:hint="eastAsia" w:ascii="宋体" w:hAnsi="宋体" w:eastAsia="宋体" w:cs="宋体"/>
          <w:szCs w:val="21"/>
        </w:rPr>
        <w:t>15、合同义务的转让</w:t>
      </w:r>
      <w:bookmarkEnd w:id="293"/>
      <w:bookmarkEnd w:id="294"/>
      <w:bookmarkEnd w:id="295"/>
      <w:bookmarkEnd w:id="296"/>
      <w:bookmarkEnd w:id="297"/>
    </w:p>
    <w:p>
      <w:pPr>
        <w:pStyle w:val="61"/>
        <w:ind w:right="210"/>
        <w:jc w:val="left"/>
        <w:rPr>
          <w:rFonts w:ascii="宋体" w:hAnsi="宋体" w:eastAsia="宋体" w:cs="宋体"/>
          <w:b w:val="0"/>
          <w:bCs/>
          <w:sz w:val="21"/>
          <w:szCs w:val="21"/>
        </w:rPr>
      </w:pPr>
      <w:bookmarkStart w:id="298" w:name="_Toc68491464"/>
      <w:bookmarkStart w:id="299" w:name="_Toc68443826"/>
      <w:bookmarkStart w:id="300" w:name="_Toc68491589"/>
      <w:bookmarkStart w:id="301" w:name="_Toc68443519"/>
      <w:bookmarkStart w:id="302" w:name="_Toc68443949"/>
      <w:r>
        <w:rPr>
          <w:rFonts w:hint="eastAsia" w:ascii="宋体" w:hAnsi="宋体" w:eastAsia="宋体" w:cs="宋体"/>
          <w:b w:val="0"/>
          <w:bCs/>
          <w:sz w:val="21"/>
          <w:szCs w:val="21"/>
        </w:rPr>
        <w:t>15.1 除非得到甲方事先书面同意，乙方不得部分转让或全部转让其履行合同的义务，否则，每发生一次，乙方应按照合同总价款的20%向甲方支付逾期违约金，超过2次的，甲方有权单方面解除本合同并要求乙方赔偿其所遭受的全部经济损失。</w:t>
      </w:r>
      <w:bookmarkEnd w:id="298"/>
      <w:bookmarkEnd w:id="299"/>
      <w:bookmarkEnd w:id="300"/>
      <w:bookmarkEnd w:id="301"/>
      <w:bookmarkEnd w:id="302"/>
      <w:r>
        <w:rPr>
          <w:rFonts w:hint="eastAsia" w:ascii="宋体" w:hAnsi="宋体" w:eastAsia="宋体" w:cs="宋体"/>
          <w:b w:val="0"/>
          <w:bCs/>
          <w:sz w:val="21"/>
          <w:szCs w:val="21"/>
        </w:rPr>
        <w:t>此外，不论乙方的分包或转包行为是否已经事先征得了甲方的书面同意，乙方均应对其所分包与转包的对象的服务质量以及提供的货物质量向甲方承担连带责任。</w:t>
      </w:r>
    </w:p>
    <w:p>
      <w:pPr>
        <w:pStyle w:val="5"/>
        <w:rPr>
          <w:rFonts w:ascii="宋体" w:hAnsi="宋体" w:eastAsia="宋体" w:cs="宋体"/>
          <w:bCs w:val="0"/>
          <w:szCs w:val="21"/>
        </w:rPr>
      </w:pPr>
      <w:bookmarkStart w:id="303" w:name="_Toc68495018"/>
      <w:bookmarkStart w:id="304" w:name="_Toc239563645"/>
      <w:bookmarkStart w:id="305" w:name="_Toc239563542"/>
      <w:bookmarkStart w:id="306" w:name="_Toc268531762"/>
      <w:bookmarkStart w:id="307" w:name="_Toc470191685"/>
      <w:r>
        <w:rPr>
          <w:rFonts w:hint="eastAsia" w:ascii="宋体" w:hAnsi="宋体" w:eastAsia="宋体" w:cs="宋体"/>
          <w:szCs w:val="21"/>
        </w:rPr>
        <w:t>16、违约责任</w:t>
      </w:r>
      <w:bookmarkEnd w:id="303"/>
      <w:bookmarkEnd w:id="304"/>
      <w:bookmarkEnd w:id="305"/>
      <w:bookmarkEnd w:id="306"/>
      <w:bookmarkEnd w:id="307"/>
    </w:p>
    <w:p>
      <w:pPr>
        <w:pStyle w:val="60"/>
        <w:tabs>
          <w:tab w:val="left" w:pos="900"/>
          <w:tab w:val="left" w:pos="993"/>
          <w:tab w:val="clear" w:pos="992"/>
        </w:tabs>
        <w:ind w:left="0" w:firstLine="0"/>
        <w:rPr>
          <w:rFonts w:ascii="宋体" w:hAnsi="宋体" w:eastAsia="宋体" w:cs="宋体"/>
          <w:szCs w:val="21"/>
        </w:rPr>
      </w:pPr>
      <w:bookmarkStart w:id="308" w:name="_Toc470191686"/>
      <w:bookmarkStart w:id="309" w:name="_Toc268531763"/>
      <w:r>
        <w:rPr>
          <w:rFonts w:hint="eastAsia" w:ascii="宋体" w:hAnsi="宋体" w:eastAsia="宋体" w:cs="宋体"/>
          <w:szCs w:val="21"/>
        </w:rPr>
        <w:t>16.1如因乙方的原因未能按合同约定完成所有实施内容，甲方有权解除合同，并没收乙方的履约保证金作为违约金，不足以赔偿甲方所受损失的，甲方有权追偿。</w:t>
      </w:r>
    </w:p>
    <w:p>
      <w:pPr>
        <w:pStyle w:val="60"/>
        <w:tabs>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16.2乙方应遵守甲方的工作制度和管理规定，并遵守甲方机房管理规定，不得擅动设备，如有违反，由于乙方原因造成甲方设备设施的损坏以及相应的损失，乙方应当承担相应赔偿责任。</w:t>
      </w:r>
    </w:p>
    <w:p>
      <w:pPr>
        <w:pStyle w:val="60"/>
        <w:tabs>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16.3乙方在实施和维护过程中发现存在的问题没有及时向甲方反映，由此造成的损失由乙方承担。</w:t>
      </w:r>
    </w:p>
    <w:p>
      <w:pPr>
        <w:pStyle w:val="60"/>
        <w:tabs>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16.4任何一方不按合同规定履行义务，给对方造成损失的，损失赔偿额应为违约造成的损失，包括本合同履行后可以获得的直接利益，但不包括合同履行后可获得的间接利益以及因违约造成的商誉损失等。</w:t>
      </w:r>
    </w:p>
    <w:p>
      <w:pPr>
        <w:pStyle w:val="60"/>
        <w:tabs>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16.5如守约方按上述违约条款要求违约方支付违约金或赔偿金时，应书面通知违约方并说明违约金或赔偿金额；违约方应在收到通知后十天内将违约金支付给守约方；如违约方对违约金或赔偿金额有异议，应在收到通知后一周内通知对方，双方应在收到对方的通知或答复后尽快协商明确违约责任。违约方应在双方就违约金或赔偿金金额达成协议后的十天内将违约金或赔偿金支付给对方。本条规定不影响甲方支付余款时先行扣除违约金和赔偿金的权利。</w:t>
      </w:r>
    </w:p>
    <w:p>
      <w:pPr>
        <w:pStyle w:val="5"/>
        <w:rPr>
          <w:rFonts w:ascii="宋体" w:hAnsi="宋体" w:eastAsia="宋体" w:cs="宋体"/>
          <w:bCs w:val="0"/>
          <w:szCs w:val="21"/>
        </w:rPr>
      </w:pPr>
      <w:r>
        <w:rPr>
          <w:rFonts w:hint="eastAsia" w:ascii="宋体" w:hAnsi="宋体" w:eastAsia="宋体" w:cs="宋体"/>
          <w:szCs w:val="21"/>
        </w:rPr>
        <w:t>17、不可抗力</w:t>
      </w:r>
      <w:bookmarkEnd w:id="308"/>
      <w:bookmarkEnd w:id="309"/>
    </w:p>
    <w:p>
      <w:pPr>
        <w:pStyle w:val="60"/>
        <w:tabs>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17.1不可抗力是指不能预见、不能避免并不能克服的客观情况，即合同双方订立合同时主观上无法预测，经过当事人的最大努力它的发生仍然不可避免，人力对其不可克服的自然灾害、战争、流行性传染病大规摸的爆发等客观情况。合同双方中的任何一方，由于不可抗力原因，而影响合同义务的执行时，则延迟履行合同义务的期限，应相当于不可抗力事故影响的时间，但是不能因为不可抗力造成的交货的延迟而调整合同价格。</w:t>
      </w:r>
    </w:p>
    <w:p>
      <w:pPr>
        <w:pStyle w:val="60"/>
        <w:tabs>
          <w:tab w:val="left" w:pos="660"/>
          <w:tab w:val="left" w:pos="993"/>
          <w:tab w:val="clear" w:pos="992"/>
        </w:tabs>
        <w:ind w:left="0" w:firstLine="0"/>
        <w:rPr>
          <w:rFonts w:ascii="宋体" w:hAnsi="宋体" w:eastAsia="宋体" w:cs="宋体"/>
          <w:szCs w:val="21"/>
        </w:rPr>
      </w:pPr>
      <w:r>
        <w:rPr>
          <w:rFonts w:hint="eastAsia" w:ascii="宋体" w:hAnsi="宋体" w:eastAsia="宋体" w:cs="宋体"/>
          <w:szCs w:val="21"/>
        </w:rPr>
        <w:t>17.2</w:t>
      </w:r>
      <w:r>
        <w:rPr>
          <w:rFonts w:hint="eastAsia" w:ascii="宋体" w:hAnsi="宋体" w:eastAsia="宋体" w:cs="宋体"/>
          <w:szCs w:val="21"/>
        </w:rPr>
        <w:tab/>
      </w:r>
      <w:r>
        <w:rPr>
          <w:rFonts w:hint="eastAsia" w:ascii="宋体" w:hAnsi="宋体" w:eastAsia="宋体" w:cs="宋体"/>
          <w:szCs w:val="21"/>
        </w:rPr>
        <w:t>受阻一方应在不可抗力事故发生后尽快以电话、电报、传真或电挂通告对方，并在事故发生后15天内将有关当局出具的证明文件用特快专递或挂号信寄给对方审阅确认。一旦不可抗力事故的影响持续60天以上，双方应通过友好协商在合理的时间内达成进一步履行合同的协议。</w:t>
      </w:r>
    </w:p>
    <w:p>
      <w:pPr>
        <w:pStyle w:val="5"/>
        <w:rPr>
          <w:rFonts w:ascii="宋体" w:hAnsi="宋体" w:eastAsia="宋体" w:cs="宋体"/>
          <w:bCs w:val="0"/>
          <w:szCs w:val="21"/>
        </w:rPr>
      </w:pPr>
      <w:bookmarkStart w:id="310" w:name="_Toc470191687"/>
      <w:bookmarkStart w:id="311" w:name="_Toc268531764"/>
      <w:r>
        <w:rPr>
          <w:rFonts w:hint="eastAsia" w:ascii="宋体" w:hAnsi="宋体" w:eastAsia="宋体" w:cs="宋体"/>
          <w:szCs w:val="21"/>
        </w:rPr>
        <w:t>18、争议的解决</w:t>
      </w:r>
      <w:bookmarkEnd w:id="310"/>
      <w:bookmarkEnd w:id="311"/>
    </w:p>
    <w:p>
      <w:pPr>
        <w:pStyle w:val="61"/>
        <w:ind w:right="210"/>
        <w:jc w:val="left"/>
        <w:rPr>
          <w:rFonts w:ascii="宋体" w:hAnsi="宋体" w:eastAsia="宋体" w:cs="宋体"/>
          <w:b w:val="0"/>
          <w:bCs/>
          <w:sz w:val="21"/>
          <w:szCs w:val="21"/>
        </w:rPr>
      </w:pPr>
      <w:bookmarkStart w:id="312" w:name="_Toc68491468"/>
      <w:bookmarkStart w:id="313" w:name="_Toc68491593"/>
      <w:bookmarkStart w:id="314" w:name="_Toc68443523"/>
      <w:bookmarkStart w:id="315" w:name="_Toc68443953"/>
      <w:bookmarkStart w:id="316" w:name="_Toc68443830"/>
      <w:r>
        <w:rPr>
          <w:rFonts w:hint="eastAsia" w:ascii="宋体" w:hAnsi="宋体" w:eastAsia="宋体" w:cs="宋体"/>
          <w:b w:val="0"/>
          <w:bCs/>
          <w:sz w:val="21"/>
          <w:szCs w:val="21"/>
        </w:rPr>
        <w:t>18.1在执行本合同中发生的或与本合同有关的争议，双方应通过友好协商解决，协商不成的，任何一方均可向甲方所在地仲裁委员会申请仲裁。</w:t>
      </w:r>
      <w:bookmarkEnd w:id="312"/>
      <w:bookmarkEnd w:id="313"/>
      <w:bookmarkEnd w:id="314"/>
      <w:bookmarkEnd w:id="315"/>
      <w:bookmarkEnd w:id="316"/>
    </w:p>
    <w:p>
      <w:pPr>
        <w:pStyle w:val="61"/>
        <w:ind w:right="210"/>
        <w:jc w:val="left"/>
        <w:rPr>
          <w:rFonts w:ascii="宋体" w:hAnsi="宋体" w:eastAsia="宋体" w:cs="宋体"/>
          <w:b w:val="0"/>
          <w:bCs/>
          <w:sz w:val="21"/>
          <w:szCs w:val="21"/>
        </w:rPr>
      </w:pPr>
      <w:bookmarkStart w:id="317" w:name="_Toc68491594"/>
      <w:bookmarkStart w:id="318" w:name="_Toc68443524"/>
      <w:bookmarkStart w:id="319" w:name="_Toc68443954"/>
      <w:bookmarkStart w:id="320" w:name="_Toc68443831"/>
      <w:bookmarkStart w:id="321" w:name="_Toc68491469"/>
      <w:r>
        <w:rPr>
          <w:rFonts w:hint="eastAsia" w:ascii="宋体" w:hAnsi="宋体" w:eastAsia="宋体" w:cs="宋体"/>
          <w:b w:val="0"/>
          <w:bCs/>
          <w:sz w:val="21"/>
          <w:szCs w:val="21"/>
        </w:rPr>
        <w:t>18.2在仲裁期间，仲裁不影响本合同其它部分继续履行的，仍应继续履行。</w:t>
      </w:r>
      <w:bookmarkEnd w:id="317"/>
      <w:bookmarkEnd w:id="318"/>
      <w:bookmarkEnd w:id="319"/>
      <w:bookmarkEnd w:id="320"/>
      <w:bookmarkEnd w:id="321"/>
    </w:p>
    <w:p>
      <w:pPr>
        <w:pStyle w:val="61"/>
        <w:ind w:right="210"/>
        <w:jc w:val="left"/>
        <w:rPr>
          <w:rFonts w:ascii="宋体" w:hAnsi="宋体" w:eastAsia="宋体" w:cs="宋体"/>
          <w:b w:val="0"/>
          <w:bCs/>
          <w:sz w:val="21"/>
          <w:szCs w:val="21"/>
        </w:rPr>
      </w:pPr>
      <w:bookmarkStart w:id="322" w:name="_Toc68443832"/>
      <w:bookmarkStart w:id="323" w:name="_Toc68491470"/>
      <w:bookmarkStart w:id="324" w:name="_Toc68443525"/>
      <w:bookmarkStart w:id="325" w:name="_Toc68443955"/>
      <w:bookmarkStart w:id="326" w:name="_Toc68491595"/>
      <w:r>
        <w:rPr>
          <w:rFonts w:hint="eastAsia" w:ascii="宋体" w:hAnsi="宋体" w:eastAsia="宋体" w:cs="宋体"/>
          <w:b w:val="0"/>
          <w:bCs/>
          <w:sz w:val="21"/>
          <w:szCs w:val="21"/>
        </w:rPr>
        <w:t>18.3 仲裁费用除仲裁庭另有裁决外，由败诉方承担。</w:t>
      </w:r>
      <w:bookmarkEnd w:id="322"/>
      <w:bookmarkEnd w:id="323"/>
      <w:bookmarkEnd w:id="324"/>
      <w:bookmarkEnd w:id="325"/>
      <w:bookmarkEnd w:id="326"/>
    </w:p>
    <w:p>
      <w:pPr>
        <w:pStyle w:val="5"/>
        <w:rPr>
          <w:rFonts w:ascii="宋体" w:hAnsi="宋体" w:eastAsia="宋体" w:cs="宋体"/>
          <w:bCs w:val="0"/>
          <w:szCs w:val="21"/>
        </w:rPr>
      </w:pPr>
      <w:bookmarkStart w:id="327" w:name="_Toc69208666"/>
      <w:bookmarkEnd w:id="327"/>
      <w:bookmarkStart w:id="328" w:name="_Toc69216877"/>
      <w:bookmarkEnd w:id="328"/>
      <w:bookmarkStart w:id="329" w:name="_Toc69216787"/>
      <w:bookmarkEnd w:id="329"/>
      <w:bookmarkStart w:id="330" w:name="_Toc470191688"/>
      <w:bookmarkStart w:id="331" w:name="_Toc268531765"/>
      <w:r>
        <w:rPr>
          <w:rFonts w:hint="eastAsia" w:ascii="宋体" w:hAnsi="宋体" w:eastAsia="宋体" w:cs="宋体"/>
          <w:szCs w:val="21"/>
        </w:rPr>
        <w:t>19、适用法律</w:t>
      </w:r>
      <w:bookmarkEnd w:id="330"/>
      <w:bookmarkEnd w:id="331"/>
    </w:p>
    <w:p>
      <w:pPr>
        <w:pStyle w:val="60"/>
        <w:tabs>
          <w:tab w:val="left" w:pos="540"/>
        </w:tabs>
        <w:ind w:left="0" w:firstLine="0"/>
        <w:rPr>
          <w:rFonts w:ascii="宋体" w:hAnsi="宋体" w:eastAsia="宋体" w:cs="宋体"/>
          <w:szCs w:val="21"/>
        </w:rPr>
      </w:pPr>
      <w:r>
        <w:rPr>
          <w:rFonts w:hint="eastAsia" w:ascii="宋体" w:hAnsi="宋体" w:eastAsia="宋体" w:cs="宋体"/>
          <w:szCs w:val="21"/>
        </w:rPr>
        <w:t>19.1 本合同适用中华人民共和国法律。</w:t>
      </w:r>
    </w:p>
    <w:p>
      <w:pPr>
        <w:pStyle w:val="5"/>
        <w:rPr>
          <w:rFonts w:ascii="宋体" w:hAnsi="宋体" w:eastAsia="宋体" w:cs="宋体"/>
          <w:bCs w:val="0"/>
          <w:szCs w:val="21"/>
        </w:rPr>
      </w:pPr>
      <w:bookmarkStart w:id="332" w:name="_Toc470191689"/>
      <w:bookmarkStart w:id="333" w:name="_Toc268531766"/>
      <w:r>
        <w:rPr>
          <w:rFonts w:hint="eastAsia" w:ascii="宋体" w:hAnsi="宋体" w:eastAsia="宋体" w:cs="宋体"/>
          <w:szCs w:val="21"/>
        </w:rPr>
        <w:t>20、语言和计量单位</w:t>
      </w:r>
      <w:bookmarkEnd w:id="332"/>
      <w:bookmarkEnd w:id="333"/>
    </w:p>
    <w:p>
      <w:pPr>
        <w:pStyle w:val="60"/>
        <w:tabs>
          <w:tab w:val="left" w:pos="540"/>
          <w:tab w:val="clear" w:pos="992"/>
        </w:tabs>
        <w:ind w:left="0" w:firstLine="0"/>
        <w:rPr>
          <w:rFonts w:ascii="宋体" w:hAnsi="宋体" w:eastAsia="宋体" w:cs="宋体"/>
          <w:szCs w:val="21"/>
        </w:rPr>
      </w:pPr>
      <w:r>
        <w:rPr>
          <w:rFonts w:hint="eastAsia" w:ascii="宋体" w:hAnsi="宋体" w:eastAsia="宋体" w:cs="宋体"/>
          <w:szCs w:val="21"/>
        </w:rPr>
        <w:t>20.1</w:t>
      </w:r>
      <w:r>
        <w:rPr>
          <w:rFonts w:hint="eastAsia" w:ascii="宋体" w:hAnsi="宋体" w:eastAsia="宋体" w:cs="宋体"/>
          <w:szCs w:val="21"/>
        </w:rPr>
        <w:tab/>
      </w:r>
      <w:r>
        <w:rPr>
          <w:rFonts w:hint="eastAsia" w:ascii="宋体" w:hAnsi="宋体" w:eastAsia="宋体" w:cs="宋体"/>
          <w:szCs w:val="21"/>
        </w:rPr>
        <w:t xml:space="preserve"> 合同书应为中文。合同正本</w:t>
      </w:r>
      <w:r>
        <w:rPr>
          <w:rFonts w:hint="eastAsia" w:ascii="宋体" w:hAnsi="宋体" w:eastAsia="宋体" w:cs="宋体"/>
          <w:b/>
          <w:szCs w:val="21"/>
        </w:rPr>
        <w:t>一式六份</w:t>
      </w:r>
      <w:r>
        <w:rPr>
          <w:rFonts w:hint="eastAsia" w:ascii="宋体" w:hAnsi="宋体" w:eastAsia="宋体" w:cs="宋体"/>
          <w:szCs w:val="21"/>
        </w:rPr>
        <w:t>，甲方四份，乙方两份，均具有同等法律效力。买卖双方所有的来往函电以及与合同有关的文件均以中文书写（特殊规定除外）。</w:t>
      </w:r>
    </w:p>
    <w:p>
      <w:pPr>
        <w:pStyle w:val="60"/>
        <w:tabs>
          <w:tab w:val="left" w:pos="720"/>
          <w:tab w:val="clear" w:pos="992"/>
        </w:tabs>
        <w:ind w:left="0" w:firstLine="0"/>
        <w:rPr>
          <w:rFonts w:ascii="宋体" w:hAnsi="宋体" w:eastAsia="宋体" w:cs="宋体"/>
          <w:szCs w:val="21"/>
        </w:rPr>
      </w:pPr>
      <w:r>
        <w:rPr>
          <w:rFonts w:hint="eastAsia" w:ascii="宋体" w:hAnsi="宋体" w:eastAsia="宋体" w:cs="宋体"/>
          <w:szCs w:val="21"/>
        </w:rPr>
        <w:t xml:space="preserve">20.2 </w:t>
      </w:r>
      <w:r>
        <w:rPr>
          <w:rFonts w:hint="eastAsia" w:ascii="宋体" w:hAnsi="宋体" w:eastAsia="宋体" w:cs="宋体"/>
          <w:szCs w:val="21"/>
        </w:rPr>
        <w:tab/>
      </w:r>
      <w:r>
        <w:rPr>
          <w:rFonts w:hint="eastAsia" w:ascii="宋体" w:hAnsi="宋体" w:eastAsia="宋体" w:cs="宋体"/>
          <w:szCs w:val="21"/>
        </w:rPr>
        <w:t>除非技术规格另有规定，计量单位均为中华人民共和国法定计量单位。</w:t>
      </w:r>
    </w:p>
    <w:p>
      <w:pPr>
        <w:pStyle w:val="5"/>
        <w:rPr>
          <w:rFonts w:ascii="宋体" w:hAnsi="宋体" w:eastAsia="宋体" w:cs="宋体"/>
          <w:bCs w:val="0"/>
          <w:szCs w:val="21"/>
        </w:rPr>
      </w:pPr>
      <w:bookmarkStart w:id="334" w:name="_Toc470191690"/>
      <w:bookmarkStart w:id="335" w:name="_Toc268531767"/>
      <w:r>
        <w:rPr>
          <w:rFonts w:hint="eastAsia" w:ascii="宋体" w:hAnsi="宋体" w:eastAsia="宋体" w:cs="宋体"/>
          <w:szCs w:val="21"/>
        </w:rPr>
        <w:t>21、通知</w:t>
      </w:r>
      <w:bookmarkEnd w:id="334"/>
      <w:bookmarkEnd w:id="335"/>
    </w:p>
    <w:p>
      <w:pPr>
        <w:pStyle w:val="60"/>
        <w:tabs>
          <w:tab w:val="left" w:pos="540"/>
          <w:tab w:val="left" w:pos="993"/>
          <w:tab w:val="clear" w:pos="992"/>
        </w:tabs>
        <w:ind w:left="0" w:firstLine="0"/>
        <w:rPr>
          <w:rFonts w:ascii="宋体" w:hAnsi="宋体" w:eastAsia="宋体" w:cs="宋体"/>
          <w:szCs w:val="21"/>
        </w:rPr>
      </w:pPr>
      <w:r>
        <w:rPr>
          <w:rFonts w:hint="eastAsia" w:ascii="宋体" w:hAnsi="宋体" w:eastAsia="宋体" w:cs="宋体"/>
          <w:szCs w:val="21"/>
        </w:rPr>
        <w:t>21.1</w:t>
      </w:r>
      <w:r>
        <w:rPr>
          <w:rFonts w:hint="eastAsia" w:ascii="宋体" w:hAnsi="宋体" w:eastAsia="宋体" w:cs="宋体"/>
          <w:szCs w:val="21"/>
        </w:rPr>
        <w:tab/>
      </w:r>
      <w:r>
        <w:rPr>
          <w:rFonts w:hint="eastAsia" w:ascii="宋体" w:hAnsi="宋体" w:eastAsia="宋体" w:cs="宋体"/>
          <w:szCs w:val="21"/>
        </w:rPr>
        <w:t xml:space="preserve"> 本合同任何一方给另一方的通知，都应以书面形式确认并发送到合同条款中规定的对方地址。</w:t>
      </w:r>
    </w:p>
    <w:p>
      <w:pPr>
        <w:pStyle w:val="5"/>
        <w:rPr>
          <w:rFonts w:ascii="宋体" w:hAnsi="宋体" w:eastAsia="宋体" w:cs="宋体"/>
          <w:bCs w:val="0"/>
          <w:szCs w:val="21"/>
        </w:rPr>
      </w:pPr>
      <w:bookmarkStart w:id="336" w:name="_Toc470191691"/>
      <w:bookmarkStart w:id="337" w:name="_Toc268531768"/>
      <w:r>
        <w:rPr>
          <w:rFonts w:hint="eastAsia" w:ascii="宋体" w:hAnsi="宋体" w:eastAsia="宋体" w:cs="宋体"/>
          <w:szCs w:val="21"/>
        </w:rPr>
        <w:t>22、合同文件及资料的使用</w:t>
      </w:r>
      <w:bookmarkEnd w:id="336"/>
      <w:bookmarkEnd w:id="337"/>
    </w:p>
    <w:p>
      <w:pPr>
        <w:pStyle w:val="60"/>
        <w:tabs>
          <w:tab w:val="left" w:pos="210"/>
          <w:tab w:val="left" w:pos="993"/>
          <w:tab w:val="left" w:pos="1680"/>
          <w:tab w:val="clear" w:pos="992"/>
        </w:tabs>
        <w:ind w:left="0" w:firstLine="0"/>
        <w:rPr>
          <w:rFonts w:ascii="宋体" w:hAnsi="宋体" w:eastAsia="宋体" w:cs="宋体"/>
          <w:szCs w:val="21"/>
        </w:rPr>
      </w:pPr>
      <w:r>
        <w:rPr>
          <w:rFonts w:hint="eastAsia" w:ascii="宋体" w:hAnsi="宋体" w:eastAsia="宋体" w:cs="宋体"/>
          <w:szCs w:val="21"/>
        </w:rPr>
        <w:t>22.1 乙方应严格遵守甲方关于保密方面的规定，自觉保守甲方的商业秘密。在未经甲方同意的情况下，乙方不得将合同、合同中规定、有关规格、试验数据、规程、程序或甲方为上述内容向乙方提供的资料、文档、数据透露给任何人，也不得另作他用。因乙方人原因导致上述资料、文档、数据或甲方商业秘密泄露的，甲方有权要求乙方采取措施消除影响，并赔偿甲方损失。该保密义务长期有效，并不随着本合同的终止、无效、撤销而失效。</w:t>
      </w:r>
    </w:p>
    <w:p>
      <w:pPr>
        <w:pStyle w:val="5"/>
        <w:rPr>
          <w:rFonts w:ascii="宋体" w:hAnsi="宋体" w:eastAsia="宋体" w:cs="宋体"/>
          <w:bCs w:val="0"/>
          <w:szCs w:val="21"/>
        </w:rPr>
      </w:pPr>
      <w:bookmarkStart w:id="338" w:name="_Toc470191692"/>
      <w:bookmarkStart w:id="339" w:name="_Toc268531769"/>
      <w:r>
        <w:rPr>
          <w:rFonts w:hint="eastAsia" w:ascii="宋体" w:hAnsi="宋体" w:eastAsia="宋体" w:cs="宋体"/>
          <w:szCs w:val="21"/>
        </w:rPr>
        <w:t>23、知识产权</w:t>
      </w:r>
      <w:bookmarkEnd w:id="338"/>
      <w:bookmarkEnd w:id="339"/>
    </w:p>
    <w:p>
      <w:pPr>
        <w:pStyle w:val="61"/>
        <w:ind w:right="210"/>
        <w:jc w:val="left"/>
        <w:rPr>
          <w:rFonts w:ascii="宋体" w:hAnsi="宋体" w:eastAsia="宋体" w:cs="宋体"/>
          <w:b w:val="0"/>
          <w:bCs/>
          <w:sz w:val="21"/>
          <w:szCs w:val="21"/>
        </w:rPr>
      </w:pPr>
      <w:bookmarkStart w:id="340" w:name="_Toc68443964"/>
      <w:bookmarkStart w:id="341" w:name="_Toc68491601"/>
      <w:bookmarkStart w:id="342" w:name="_Toc68443841"/>
      <w:bookmarkStart w:id="343" w:name="_Toc68491476"/>
      <w:bookmarkStart w:id="344" w:name="_Toc68443534"/>
      <w:r>
        <w:rPr>
          <w:rFonts w:hint="eastAsia" w:ascii="宋体" w:hAnsi="宋体" w:eastAsia="宋体" w:cs="宋体"/>
          <w:b w:val="0"/>
          <w:bCs/>
          <w:sz w:val="21"/>
          <w:szCs w:val="21"/>
        </w:rPr>
        <w:t>23.1一方在本合同签订之前的已有知识产权仍归该方所有。</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23.2 本合同中乙方销售给甲方的自有产品的知识产权归乙方所有，乙方承诺给予甲方上述自有产品的使用权。</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23.3 本合同新开发过程中所产生的技术成果、技术文档（均包括电子介质、纸质介质）的版权均归甲方所有，未经甲方授权同意，乙方一律不得另作他用。</w:t>
      </w:r>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23.4乙方应保证，甲方在使用该货物或其任何一部分时，以及在接受乙方提供的服务过程中，免受第三方提出的侵犯其专利权、商标权、著作权或工业设计权的起诉，否则，由此引起的一切法律责任概由乙方承担，甲方不承担任何责任。</w:t>
      </w:r>
      <w:bookmarkEnd w:id="340"/>
      <w:bookmarkEnd w:id="341"/>
      <w:bookmarkEnd w:id="342"/>
      <w:bookmarkEnd w:id="343"/>
      <w:bookmarkEnd w:id="344"/>
    </w:p>
    <w:p>
      <w:pPr>
        <w:pStyle w:val="5"/>
        <w:rPr>
          <w:rFonts w:ascii="宋体" w:hAnsi="宋体" w:eastAsia="宋体" w:cs="宋体"/>
          <w:bCs w:val="0"/>
          <w:szCs w:val="21"/>
        </w:rPr>
      </w:pPr>
      <w:bookmarkStart w:id="345" w:name="_Toc268531771"/>
      <w:bookmarkStart w:id="346" w:name="_Toc470191693"/>
      <w:r>
        <w:rPr>
          <w:rFonts w:hint="eastAsia" w:ascii="宋体" w:hAnsi="宋体" w:eastAsia="宋体" w:cs="宋体"/>
          <w:szCs w:val="21"/>
        </w:rPr>
        <w:t>24、合同的生效及其它</w:t>
      </w:r>
      <w:bookmarkEnd w:id="345"/>
      <w:bookmarkEnd w:id="346"/>
    </w:p>
    <w:p>
      <w:pPr>
        <w:pStyle w:val="61"/>
        <w:ind w:right="210"/>
        <w:jc w:val="left"/>
        <w:rPr>
          <w:rFonts w:ascii="宋体" w:hAnsi="宋体" w:eastAsia="宋体" w:cs="宋体"/>
          <w:b w:val="0"/>
          <w:bCs/>
          <w:sz w:val="21"/>
          <w:szCs w:val="21"/>
        </w:rPr>
      </w:pPr>
      <w:bookmarkStart w:id="347" w:name="_Toc68491483"/>
      <w:bookmarkStart w:id="348" w:name="_Toc68443848"/>
      <w:bookmarkStart w:id="349" w:name="_Toc68443971"/>
      <w:bookmarkStart w:id="350" w:name="_Toc68443541"/>
      <w:bookmarkStart w:id="351" w:name="_Toc68491608"/>
      <w:bookmarkStart w:id="352" w:name="_Toc268531773"/>
      <w:r>
        <w:rPr>
          <w:rFonts w:hint="eastAsia" w:ascii="宋体" w:hAnsi="宋体" w:eastAsia="宋体" w:cs="宋体"/>
          <w:b w:val="0"/>
          <w:bCs/>
          <w:sz w:val="21"/>
          <w:szCs w:val="21"/>
        </w:rPr>
        <w:t>24.1本合同经双方签字盖章后即开始生效。</w:t>
      </w:r>
      <w:bookmarkEnd w:id="347"/>
      <w:bookmarkEnd w:id="348"/>
      <w:bookmarkEnd w:id="349"/>
      <w:bookmarkEnd w:id="350"/>
      <w:bookmarkEnd w:id="351"/>
    </w:p>
    <w:p>
      <w:pPr>
        <w:pStyle w:val="61"/>
        <w:ind w:right="210"/>
        <w:jc w:val="left"/>
        <w:rPr>
          <w:rFonts w:ascii="宋体" w:hAnsi="宋体" w:eastAsia="宋体" w:cs="宋体"/>
          <w:b w:val="0"/>
          <w:bCs/>
          <w:sz w:val="21"/>
          <w:szCs w:val="21"/>
        </w:rPr>
      </w:pPr>
      <w:bookmarkStart w:id="353" w:name="_Toc68443542"/>
      <w:bookmarkStart w:id="354" w:name="_Toc68443849"/>
      <w:bookmarkStart w:id="355" w:name="_Toc68491609"/>
      <w:bookmarkStart w:id="356" w:name="_Toc68443972"/>
      <w:bookmarkStart w:id="357" w:name="_Toc68491484"/>
      <w:r>
        <w:rPr>
          <w:rFonts w:hint="eastAsia" w:ascii="宋体" w:hAnsi="宋体" w:eastAsia="宋体" w:cs="宋体"/>
          <w:b w:val="0"/>
          <w:bCs/>
          <w:sz w:val="21"/>
          <w:szCs w:val="21"/>
        </w:rPr>
        <w:t>24.2甲方所需的设备、软件及服务，如愿意继续向乙方购买的，则乙方应保证其供应的价格不得高于、服务水平不得低于本合同规定的标准和要求，并另行签订合同。</w:t>
      </w:r>
      <w:bookmarkEnd w:id="353"/>
      <w:bookmarkEnd w:id="354"/>
      <w:bookmarkEnd w:id="355"/>
      <w:bookmarkEnd w:id="356"/>
      <w:bookmarkEnd w:id="357"/>
    </w:p>
    <w:p>
      <w:pPr>
        <w:pStyle w:val="61"/>
        <w:ind w:right="210"/>
        <w:jc w:val="left"/>
        <w:rPr>
          <w:rFonts w:ascii="宋体" w:hAnsi="宋体" w:eastAsia="宋体" w:cs="宋体"/>
          <w:b w:val="0"/>
          <w:bCs/>
          <w:sz w:val="21"/>
          <w:szCs w:val="21"/>
        </w:rPr>
      </w:pPr>
      <w:r>
        <w:rPr>
          <w:rFonts w:hint="eastAsia" w:ascii="宋体" w:hAnsi="宋体" w:eastAsia="宋体" w:cs="宋体"/>
          <w:b w:val="0"/>
          <w:bCs/>
          <w:sz w:val="21"/>
          <w:szCs w:val="21"/>
        </w:rPr>
        <w:t>24.3本合同附件与合同正文具有相同法律效力，如正文与附件文字出现歧义，以附件内容为准。</w:t>
      </w:r>
    </w:p>
    <w:p>
      <w:pPr>
        <w:pStyle w:val="5"/>
        <w:rPr>
          <w:rFonts w:ascii="宋体" w:hAnsi="宋体" w:eastAsia="宋体" w:cs="宋体"/>
          <w:szCs w:val="21"/>
        </w:rPr>
      </w:pPr>
      <w:bookmarkStart w:id="358" w:name="_Toc268531772"/>
      <w:bookmarkStart w:id="359" w:name="_Toc277607740"/>
      <w:bookmarkStart w:id="360" w:name="_Toc470191694"/>
      <w:r>
        <w:rPr>
          <w:rFonts w:hint="eastAsia" w:ascii="宋体" w:hAnsi="宋体" w:eastAsia="宋体" w:cs="宋体"/>
          <w:szCs w:val="21"/>
        </w:rPr>
        <w:t>25、项目成果的提交、验收和鉴定</w:t>
      </w:r>
      <w:bookmarkEnd w:id="358"/>
      <w:bookmarkEnd w:id="359"/>
      <w:bookmarkEnd w:id="360"/>
    </w:p>
    <w:p>
      <w:pPr>
        <w:pStyle w:val="60"/>
        <w:tabs>
          <w:tab w:val="left" w:pos="210"/>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25.1 技术成果的提交，是指本合同技术规范中所要求的所有技术文档、应用软件、程序源代码的电子介质、纸质介质及电子成果（存在于工具软件中）的全部提交。只有该项目所有技术成果均提交甲方后，乙方才能向甲方提出项目成果验收申请。</w:t>
      </w:r>
    </w:p>
    <w:p>
      <w:pPr>
        <w:pStyle w:val="60"/>
        <w:tabs>
          <w:tab w:val="left" w:pos="210"/>
          <w:tab w:val="left" w:pos="900"/>
          <w:tab w:val="left" w:pos="993"/>
          <w:tab w:val="clear" w:pos="992"/>
        </w:tabs>
        <w:ind w:left="0" w:firstLine="0"/>
        <w:rPr>
          <w:rFonts w:ascii="宋体" w:hAnsi="宋体" w:eastAsia="宋体" w:cs="宋体"/>
          <w:szCs w:val="21"/>
        </w:rPr>
      </w:pPr>
      <w:r>
        <w:rPr>
          <w:rFonts w:hint="eastAsia" w:ascii="宋体" w:hAnsi="宋体" w:eastAsia="宋体" w:cs="宋体"/>
          <w:szCs w:val="21"/>
        </w:rPr>
        <w:t>25.2 本合同所约定系统的全部功能模块开发完成，并通过集成调试投入试运行，试运行稳定运行三个月后乙方可以申请项目验收。乙方须提前十四天用书面方式，向甲方提出项目验收申请，由甲方组织项目验收小组对软件系统进行验收，验收通过则由验收小组出具项目验收证明。</w:t>
      </w:r>
    </w:p>
    <w:p>
      <w:pPr>
        <w:pStyle w:val="60"/>
        <w:tabs>
          <w:tab w:val="left" w:pos="210"/>
          <w:tab w:val="left" w:pos="993"/>
          <w:tab w:val="left" w:pos="1680"/>
          <w:tab w:val="clear" w:pos="992"/>
        </w:tabs>
        <w:ind w:left="0" w:firstLine="0"/>
        <w:rPr>
          <w:rFonts w:ascii="宋体" w:hAnsi="宋体" w:eastAsia="宋体" w:cs="宋体"/>
          <w:szCs w:val="21"/>
        </w:rPr>
      </w:pPr>
      <w:r>
        <w:rPr>
          <w:rFonts w:hint="eastAsia" w:ascii="宋体" w:hAnsi="宋体" w:eastAsia="宋体" w:cs="宋体"/>
          <w:szCs w:val="21"/>
        </w:rPr>
        <w:t>25.3 鉴定内容包括但不限于：</w:t>
      </w:r>
    </w:p>
    <w:p>
      <w:pPr>
        <w:pStyle w:val="50"/>
        <w:tabs>
          <w:tab w:val="left" w:pos="993"/>
        </w:tabs>
        <w:ind w:left="567" w:firstLine="0" w:firstLineChars="0"/>
        <w:rPr>
          <w:rFonts w:ascii="宋体" w:hAnsi="宋体" w:eastAsia="宋体" w:cs="宋体"/>
          <w:vanish/>
          <w:szCs w:val="21"/>
        </w:rPr>
      </w:pPr>
    </w:p>
    <w:p>
      <w:pPr>
        <w:pStyle w:val="50"/>
        <w:tabs>
          <w:tab w:val="left" w:pos="0"/>
          <w:tab w:val="left" w:pos="993"/>
        </w:tabs>
        <w:ind w:firstLine="0" w:firstLineChars="0"/>
        <w:rPr>
          <w:rFonts w:ascii="宋体" w:hAnsi="宋体" w:eastAsia="宋体" w:cs="宋体"/>
          <w:szCs w:val="21"/>
        </w:rPr>
      </w:pPr>
      <w:r>
        <w:rPr>
          <w:rFonts w:hint="eastAsia" w:ascii="宋体" w:hAnsi="宋体" w:eastAsia="宋体" w:cs="宋体"/>
          <w:szCs w:val="21"/>
        </w:rPr>
        <w:t>25.3.1软件系统使用的开发工具、开发平台，技术规范以及支持工具的科学性与实用性。</w:t>
      </w:r>
    </w:p>
    <w:p>
      <w:pPr>
        <w:pStyle w:val="50"/>
        <w:tabs>
          <w:tab w:val="left" w:pos="0"/>
          <w:tab w:val="left" w:pos="993"/>
        </w:tabs>
        <w:ind w:firstLine="0" w:firstLineChars="0"/>
        <w:rPr>
          <w:rFonts w:ascii="宋体" w:hAnsi="宋体" w:eastAsia="宋体" w:cs="宋体"/>
          <w:szCs w:val="21"/>
        </w:rPr>
      </w:pPr>
      <w:r>
        <w:rPr>
          <w:rFonts w:hint="eastAsia" w:ascii="宋体" w:hAnsi="宋体" w:eastAsia="宋体" w:cs="宋体"/>
          <w:szCs w:val="21"/>
        </w:rPr>
        <w:t>25.3.2软件系统各模块、流程是否满足规范及格式要求。</w:t>
      </w:r>
    </w:p>
    <w:p>
      <w:pPr>
        <w:pStyle w:val="50"/>
        <w:tabs>
          <w:tab w:val="left" w:pos="0"/>
          <w:tab w:val="left" w:pos="993"/>
        </w:tabs>
        <w:ind w:firstLine="0" w:firstLineChars="0"/>
        <w:rPr>
          <w:rFonts w:ascii="宋体" w:hAnsi="宋体" w:eastAsia="宋体" w:cs="宋体"/>
          <w:szCs w:val="21"/>
        </w:rPr>
      </w:pPr>
      <w:r>
        <w:rPr>
          <w:rFonts w:hint="eastAsia" w:ascii="宋体" w:hAnsi="宋体" w:eastAsia="宋体" w:cs="宋体"/>
          <w:szCs w:val="21"/>
        </w:rPr>
        <w:t>25.3.3各模块在功能实现上的准确性、先进性及全面性、稳定性。</w:t>
      </w:r>
    </w:p>
    <w:p>
      <w:pPr>
        <w:pStyle w:val="60"/>
        <w:tabs>
          <w:tab w:val="left" w:pos="210"/>
          <w:tab w:val="left" w:pos="993"/>
          <w:tab w:val="left" w:pos="1680"/>
          <w:tab w:val="clear" w:pos="992"/>
        </w:tabs>
        <w:ind w:left="0" w:firstLine="0"/>
        <w:rPr>
          <w:rFonts w:ascii="宋体" w:hAnsi="宋体" w:eastAsia="宋体" w:cs="宋体"/>
          <w:szCs w:val="21"/>
        </w:rPr>
      </w:pPr>
      <w:r>
        <w:rPr>
          <w:rFonts w:hint="eastAsia" w:ascii="宋体" w:hAnsi="宋体" w:eastAsia="宋体" w:cs="宋体"/>
          <w:szCs w:val="21"/>
        </w:rPr>
        <w:t>29.4 如果双方对产品的质量、完成情况有意见分歧，甲方可委托权威机构对产品进行重新鉴定，此机构出具的鉴定证明即作为甲方向乙方提出修理、补齐、更换和索赔的有效证据。乙方除承担修改费用之外，还需承担重新鉴定费用。</w:t>
      </w:r>
    </w:p>
    <w:p>
      <w:pPr>
        <w:pStyle w:val="60"/>
        <w:tabs>
          <w:tab w:val="left" w:pos="210"/>
          <w:tab w:val="left" w:pos="993"/>
          <w:tab w:val="left" w:pos="1680"/>
          <w:tab w:val="clear" w:pos="992"/>
        </w:tabs>
        <w:ind w:left="0" w:firstLine="0"/>
        <w:rPr>
          <w:rFonts w:ascii="宋体" w:hAnsi="宋体" w:eastAsia="宋体" w:cs="宋体"/>
          <w:szCs w:val="21"/>
        </w:rPr>
      </w:pPr>
      <w:r>
        <w:rPr>
          <w:rFonts w:hint="eastAsia" w:ascii="宋体" w:hAnsi="宋体" w:eastAsia="宋体" w:cs="宋体"/>
          <w:szCs w:val="21"/>
        </w:rPr>
        <w:t>25.5 为免歧义，甲乙双方一致确认，甲方的验收并不免除乙方对其所提供货物的所承担的瑕疵担保责任，如货物经甲方验收后，在正常运行中由于潜在质量瑕疵或技术瑕疵造成该设备无法正常运行的，乙方仍应向甲方承担违约责任，并赔偿甲方由此所遭受的全部经济损失。</w:t>
      </w:r>
    </w:p>
    <w:p>
      <w:pPr>
        <w:pStyle w:val="5"/>
        <w:rPr>
          <w:rFonts w:ascii="宋体" w:hAnsi="宋体" w:eastAsia="宋体" w:cs="宋体"/>
          <w:szCs w:val="21"/>
        </w:rPr>
      </w:pPr>
      <w:bookmarkStart w:id="361" w:name="_Toc470191695"/>
      <w:r>
        <w:rPr>
          <w:rFonts w:hint="eastAsia" w:ascii="宋体" w:hAnsi="宋体" w:eastAsia="宋体" w:cs="宋体"/>
          <w:szCs w:val="21"/>
        </w:rPr>
        <w:t>26、安全保密</w:t>
      </w:r>
      <w:bookmarkEnd w:id="352"/>
      <w:bookmarkEnd w:id="361"/>
    </w:p>
    <w:p>
      <w:pPr>
        <w:pStyle w:val="60"/>
        <w:tabs>
          <w:tab w:val="left" w:pos="210"/>
          <w:tab w:val="left" w:pos="993"/>
          <w:tab w:val="left" w:pos="1680"/>
          <w:tab w:val="clear" w:pos="992"/>
        </w:tabs>
        <w:ind w:left="0" w:firstLine="0"/>
        <w:rPr>
          <w:rFonts w:ascii="宋体" w:hAnsi="宋体" w:eastAsia="宋体" w:cs="宋体"/>
          <w:szCs w:val="21"/>
        </w:rPr>
      </w:pPr>
      <w:r>
        <w:rPr>
          <w:rFonts w:hint="eastAsia" w:ascii="宋体" w:hAnsi="宋体" w:eastAsia="宋体" w:cs="宋体"/>
          <w:szCs w:val="21"/>
        </w:rPr>
        <w:t>26.1本项目所建软硬件系统需符合国家计算机及软件系统安全等级保护相关要求。</w:t>
      </w:r>
    </w:p>
    <w:p>
      <w:pPr>
        <w:pStyle w:val="5"/>
        <w:rPr>
          <w:rFonts w:ascii="宋体" w:hAnsi="宋体" w:eastAsia="宋体" w:cs="宋体"/>
          <w:bCs w:val="0"/>
          <w:szCs w:val="21"/>
        </w:rPr>
      </w:pPr>
      <w:bookmarkStart w:id="362" w:name="_Toc168117009"/>
      <w:bookmarkEnd w:id="362"/>
      <w:bookmarkStart w:id="363" w:name="_Toc168116166"/>
      <w:bookmarkEnd w:id="363"/>
      <w:bookmarkStart w:id="364" w:name="_Toc168117231"/>
      <w:bookmarkEnd w:id="364"/>
      <w:bookmarkStart w:id="365" w:name="_Toc168115929"/>
      <w:bookmarkEnd w:id="365"/>
      <w:bookmarkStart w:id="366" w:name="_Toc69269186"/>
      <w:bookmarkEnd w:id="366"/>
      <w:bookmarkStart w:id="367" w:name="_Toc167952220"/>
      <w:bookmarkEnd w:id="367"/>
      <w:bookmarkStart w:id="368" w:name="_Toc167897212"/>
      <w:bookmarkEnd w:id="368"/>
      <w:bookmarkStart w:id="369" w:name="_Toc470191696"/>
      <w:bookmarkStart w:id="370" w:name="_Toc268531774"/>
      <w:r>
        <w:rPr>
          <w:rFonts w:hint="eastAsia" w:ascii="宋体" w:hAnsi="宋体" w:eastAsia="宋体" w:cs="宋体"/>
          <w:szCs w:val="21"/>
        </w:rPr>
        <w:t>27、法定地址</w:t>
      </w:r>
      <w:bookmarkEnd w:id="369"/>
      <w:bookmarkEnd w:id="370"/>
    </w:p>
    <w:p>
      <w:pPr>
        <w:tabs>
          <w:tab w:val="left" w:pos="993"/>
        </w:tabs>
        <w:ind w:left="360"/>
        <w:rPr>
          <w:rFonts w:ascii="宋体" w:hAnsi="宋体" w:eastAsia="宋体" w:cs="宋体"/>
          <w:szCs w:val="21"/>
        </w:rPr>
      </w:pPr>
    </w:p>
    <w:p>
      <w:pPr>
        <w:tabs>
          <w:tab w:val="left" w:pos="993"/>
        </w:tabs>
        <w:ind w:left="360"/>
        <w:rPr>
          <w:rFonts w:ascii="宋体" w:hAnsi="宋体" w:eastAsia="宋体" w:cs="宋体"/>
          <w:szCs w:val="21"/>
          <w:u w:val="single"/>
        </w:rPr>
      </w:pPr>
      <w:r>
        <w:rPr>
          <w:rFonts w:hint="eastAsia" w:ascii="宋体" w:hAnsi="宋体" w:eastAsia="宋体" w:cs="宋体"/>
          <w:szCs w:val="21"/>
        </w:rPr>
        <w:t>甲  方：</w:t>
      </w:r>
      <w:r>
        <w:rPr>
          <w:rFonts w:hint="eastAsia" w:ascii="宋体" w:hAnsi="宋体" w:eastAsia="宋体" w:cs="宋体"/>
          <w:szCs w:val="21"/>
          <w:u w:val="single"/>
        </w:rPr>
        <w:t xml:space="preserve">                     </w:t>
      </w:r>
    </w:p>
    <w:p>
      <w:pPr>
        <w:tabs>
          <w:tab w:val="left" w:pos="993"/>
        </w:tabs>
        <w:ind w:left="360"/>
        <w:rPr>
          <w:rFonts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 xml:space="preserve">                     </w:t>
      </w:r>
    </w:p>
    <w:p>
      <w:pPr>
        <w:tabs>
          <w:tab w:val="left" w:pos="993"/>
        </w:tabs>
        <w:ind w:left="360"/>
        <w:rPr>
          <w:rFonts w:ascii="宋体" w:hAnsi="宋体" w:eastAsia="宋体" w:cs="宋体"/>
          <w:szCs w:val="21"/>
          <w:u w:val="single"/>
        </w:rPr>
      </w:pPr>
      <w:r>
        <w:rPr>
          <w:rFonts w:hint="eastAsia" w:ascii="宋体" w:hAnsi="宋体" w:eastAsia="宋体" w:cs="宋体"/>
          <w:szCs w:val="21"/>
        </w:rPr>
        <w:t>邮  编：</w:t>
      </w:r>
      <w:r>
        <w:rPr>
          <w:rFonts w:hint="eastAsia" w:ascii="宋体" w:hAnsi="宋体" w:eastAsia="宋体" w:cs="宋体"/>
          <w:szCs w:val="21"/>
          <w:u w:val="single"/>
        </w:rPr>
        <w:t xml:space="preserve">                     </w:t>
      </w:r>
    </w:p>
    <w:p>
      <w:pPr>
        <w:ind w:left="360"/>
        <w:rPr>
          <w:rFonts w:ascii="宋体" w:hAnsi="宋体" w:eastAsia="宋体" w:cs="宋体"/>
          <w:szCs w:val="21"/>
          <w:u w:val="single"/>
        </w:rPr>
      </w:pPr>
      <w:r>
        <w:rPr>
          <w:rFonts w:hint="eastAsia" w:ascii="宋体" w:hAnsi="宋体" w:eastAsia="宋体" w:cs="宋体"/>
          <w:szCs w:val="21"/>
        </w:rPr>
        <w:t>联系人：</w:t>
      </w:r>
      <w:r>
        <w:rPr>
          <w:rFonts w:hint="eastAsia" w:ascii="宋体" w:hAnsi="宋体" w:eastAsia="宋体" w:cs="宋体"/>
          <w:szCs w:val="21"/>
          <w:u w:val="single"/>
        </w:rPr>
        <w:t xml:space="preserve">                     </w:t>
      </w:r>
    </w:p>
    <w:p>
      <w:pPr>
        <w:ind w:left="360"/>
        <w:rPr>
          <w:rFonts w:ascii="宋体" w:hAnsi="宋体" w:eastAsia="宋体" w:cs="宋体"/>
          <w:szCs w:val="21"/>
        </w:rPr>
      </w:pPr>
      <w:r>
        <w:rPr>
          <w:rFonts w:hint="eastAsia" w:ascii="宋体" w:hAnsi="宋体" w:eastAsia="宋体" w:cs="宋体"/>
          <w:szCs w:val="21"/>
        </w:rPr>
        <w:t>传  真：</w:t>
      </w:r>
      <w:bookmarkStart w:id="371" w:name="TendererFax_3493"/>
      <w:r>
        <w:rPr>
          <w:rFonts w:hint="eastAsia" w:ascii="宋体" w:hAnsi="宋体" w:eastAsia="宋体" w:cs="宋体"/>
          <w:szCs w:val="21"/>
          <w:u w:val="single"/>
        </w:rPr>
        <w:t xml:space="preserve"> </w:t>
      </w:r>
      <w:bookmarkEnd w:id="371"/>
      <w:r>
        <w:rPr>
          <w:rFonts w:hint="eastAsia" w:ascii="宋体" w:hAnsi="宋体" w:eastAsia="宋体" w:cs="宋体"/>
          <w:szCs w:val="21"/>
          <w:u w:val="single"/>
        </w:rPr>
        <w:t xml:space="preserve">                    </w:t>
      </w:r>
    </w:p>
    <w:p>
      <w:pPr>
        <w:ind w:left="360"/>
        <w:rPr>
          <w:rFonts w:ascii="宋体" w:hAnsi="宋体" w:eastAsia="宋体" w:cs="宋体"/>
          <w:szCs w:val="21"/>
          <w:u w:val="single"/>
        </w:rPr>
      </w:pPr>
      <w:r>
        <w:rPr>
          <w:rFonts w:hint="eastAsia" w:ascii="宋体" w:hAnsi="宋体" w:eastAsia="宋体" w:cs="宋体"/>
          <w:szCs w:val="21"/>
        </w:rPr>
        <w:t>电  话：</w:t>
      </w:r>
      <w:bookmarkStart w:id="372" w:name="TendererTel_4530"/>
      <w:r>
        <w:rPr>
          <w:rFonts w:hint="eastAsia" w:ascii="宋体" w:hAnsi="宋体" w:eastAsia="宋体" w:cs="宋体"/>
          <w:szCs w:val="21"/>
          <w:u w:val="single"/>
        </w:rPr>
        <w:t xml:space="preserve"> </w:t>
      </w:r>
      <w:bookmarkEnd w:id="372"/>
      <w:r>
        <w:rPr>
          <w:rFonts w:hint="eastAsia" w:ascii="宋体" w:hAnsi="宋体" w:eastAsia="宋体" w:cs="宋体"/>
          <w:szCs w:val="21"/>
          <w:u w:val="single"/>
        </w:rPr>
        <w:t xml:space="preserve">                    </w:t>
      </w:r>
    </w:p>
    <w:p>
      <w:pPr>
        <w:ind w:left="360"/>
        <w:rPr>
          <w:rFonts w:ascii="宋体" w:hAnsi="宋体" w:eastAsia="宋体" w:cs="宋体"/>
          <w:szCs w:val="21"/>
        </w:rPr>
      </w:pPr>
    </w:p>
    <w:p>
      <w:pPr>
        <w:ind w:left="360"/>
        <w:rPr>
          <w:rFonts w:ascii="宋体" w:hAnsi="宋体" w:eastAsia="宋体" w:cs="宋体"/>
          <w:szCs w:val="21"/>
        </w:rPr>
      </w:pPr>
      <w:r>
        <w:rPr>
          <w:rFonts w:hint="eastAsia" w:ascii="宋体" w:hAnsi="宋体" w:eastAsia="宋体" w:cs="宋体"/>
          <w:szCs w:val="21"/>
        </w:rPr>
        <w:t>乙  方：</w:t>
      </w:r>
      <w:r>
        <w:rPr>
          <w:rFonts w:hint="eastAsia" w:ascii="宋体" w:hAnsi="宋体" w:eastAsia="宋体" w:cs="宋体"/>
          <w:szCs w:val="21"/>
          <w:u w:val="single"/>
        </w:rPr>
        <w:t xml:space="preserve">                     </w:t>
      </w:r>
    </w:p>
    <w:p>
      <w:pPr>
        <w:tabs>
          <w:tab w:val="left" w:pos="993"/>
        </w:tabs>
        <w:ind w:left="360"/>
        <w:rPr>
          <w:rFonts w:ascii="宋体" w:hAnsi="宋体" w:eastAsia="宋体" w:cs="宋体"/>
          <w:szCs w:val="21"/>
          <w:u w:val="single"/>
        </w:rPr>
      </w:pPr>
      <w:r>
        <w:rPr>
          <w:rFonts w:hint="eastAsia" w:ascii="宋体" w:hAnsi="宋体" w:eastAsia="宋体" w:cs="宋体"/>
          <w:szCs w:val="21"/>
        </w:rPr>
        <w:t>邮  编：</w:t>
      </w:r>
      <w:r>
        <w:rPr>
          <w:rFonts w:hint="eastAsia" w:ascii="宋体" w:hAnsi="宋体" w:eastAsia="宋体" w:cs="宋体"/>
          <w:szCs w:val="21"/>
          <w:u w:val="single"/>
        </w:rPr>
        <w:t xml:space="preserve">                     </w:t>
      </w:r>
    </w:p>
    <w:p>
      <w:pPr>
        <w:ind w:left="360"/>
        <w:rPr>
          <w:rFonts w:ascii="宋体" w:hAnsi="宋体" w:eastAsia="宋体" w:cs="宋体"/>
          <w:szCs w:val="21"/>
          <w:u w:val="single"/>
        </w:rPr>
      </w:pPr>
      <w:r>
        <w:rPr>
          <w:rFonts w:hint="eastAsia" w:ascii="宋体" w:hAnsi="宋体" w:eastAsia="宋体" w:cs="宋体"/>
          <w:szCs w:val="21"/>
        </w:rPr>
        <w:t>联系人：</w:t>
      </w:r>
      <w:r>
        <w:rPr>
          <w:rFonts w:hint="eastAsia" w:ascii="宋体" w:hAnsi="宋体" w:eastAsia="宋体" w:cs="宋体"/>
          <w:szCs w:val="21"/>
          <w:u w:val="single"/>
        </w:rPr>
        <w:t xml:space="preserve">                     </w:t>
      </w:r>
    </w:p>
    <w:p>
      <w:pPr>
        <w:ind w:left="360"/>
        <w:rPr>
          <w:rFonts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p>
    <w:p>
      <w:pPr>
        <w:ind w:firstLine="315" w:firstLineChars="150"/>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p>
    <w:p>
      <w:pPr>
        <w:ind w:firstLine="315" w:firstLineChars="150"/>
        <w:rPr>
          <w:rFonts w:ascii="宋体" w:hAnsi="宋体" w:eastAsia="宋体" w:cs="宋体"/>
          <w:szCs w:val="21"/>
          <w:u w:val="single"/>
        </w:rPr>
      </w:pPr>
      <w:r>
        <w:rPr>
          <w:rFonts w:hint="eastAsia" w:ascii="宋体" w:hAnsi="宋体" w:eastAsia="宋体" w:cs="宋体"/>
          <w:szCs w:val="21"/>
        </w:rPr>
        <w:t>开户银行：</w:t>
      </w:r>
      <w:r>
        <w:rPr>
          <w:rFonts w:hint="eastAsia" w:ascii="宋体" w:hAnsi="宋体" w:eastAsia="宋体" w:cs="宋体"/>
          <w:szCs w:val="21"/>
          <w:u w:val="single"/>
        </w:rPr>
        <w:t xml:space="preserve">                   </w:t>
      </w:r>
    </w:p>
    <w:p>
      <w:pPr>
        <w:ind w:firstLine="315" w:firstLineChars="150"/>
        <w:rPr>
          <w:rFonts w:ascii="宋体" w:hAnsi="宋体" w:eastAsia="宋体" w:cs="宋体"/>
          <w:szCs w:val="21"/>
          <w:u w:val="single"/>
        </w:rPr>
      </w:pPr>
      <w:r>
        <w:rPr>
          <w:rFonts w:hint="eastAsia" w:ascii="宋体" w:hAnsi="宋体" w:eastAsia="宋体" w:cs="宋体"/>
          <w:szCs w:val="21"/>
        </w:rPr>
        <w:t>帐  号:</w:t>
      </w:r>
      <w:r>
        <w:rPr>
          <w:rFonts w:hint="eastAsia" w:ascii="宋体" w:hAnsi="宋体" w:eastAsia="宋体" w:cs="宋体"/>
          <w:szCs w:val="21"/>
          <w:u w:val="single"/>
        </w:rPr>
        <w:t xml:space="preserve">                      </w:t>
      </w:r>
    </w:p>
    <w:p>
      <w:pPr>
        <w:ind w:firstLine="105" w:firstLineChars="50"/>
        <w:rPr>
          <w:rFonts w:ascii="宋体" w:hAnsi="宋体" w:eastAsia="宋体" w:cs="宋体"/>
          <w:szCs w:val="21"/>
        </w:rPr>
      </w:pPr>
    </w:p>
    <w:p>
      <w:pPr>
        <w:pStyle w:val="17"/>
      </w:pPr>
    </w:p>
    <w:p>
      <w:pPr>
        <w:ind w:firstLine="105" w:firstLineChars="50"/>
        <w:rPr>
          <w:rFonts w:ascii="宋体" w:hAnsi="宋体" w:eastAsia="宋体" w:cs="宋体"/>
          <w:szCs w:val="21"/>
        </w:rPr>
      </w:pPr>
      <w:r>
        <w:rPr>
          <w:rFonts w:hint="eastAsia" w:ascii="宋体" w:hAnsi="宋体" w:eastAsia="宋体" w:cs="宋体"/>
          <w:szCs w:val="21"/>
        </w:rPr>
        <w:t>合同附件目录如下：</w:t>
      </w:r>
    </w:p>
    <w:p>
      <w:pPr>
        <w:tabs>
          <w:tab w:val="left" w:pos="5880"/>
        </w:tabs>
        <w:adjustRightInd w:val="0"/>
        <w:snapToGrid w:val="0"/>
        <w:ind w:firstLine="867" w:firstLineChars="413"/>
        <w:rPr>
          <w:rFonts w:ascii="宋体" w:hAnsi="宋体" w:eastAsia="宋体" w:cs="宋体"/>
          <w:szCs w:val="21"/>
        </w:rPr>
      </w:pPr>
      <w:r>
        <w:rPr>
          <w:rFonts w:hint="eastAsia" w:ascii="宋体" w:hAnsi="宋体" w:eastAsia="宋体" w:cs="宋体"/>
          <w:szCs w:val="21"/>
        </w:rPr>
        <w:t>附件一. 详细价格表</w:t>
      </w:r>
    </w:p>
    <w:p>
      <w:pPr>
        <w:tabs>
          <w:tab w:val="left" w:pos="5880"/>
        </w:tabs>
        <w:adjustRightInd w:val="0"/>
        <w:snapToGrid w:val="0"/>
        <w:ind w:firstLine="867" w:firstLineChars="413"/>
        <w:rPr>
          <w:rFonts w:ascii="宋体" w:hAnsi="宋体" w:eastAsia="宋体" w:cs="宋体"/>
          <w:szCs w:val="21"/>
        </w:rPr>
      </w:pPr>
      <w:r>
        <w:rPr>
          <w:rFonts w:hint="eastAsia" w:ascii="宋体" w:hAnsi="宋体" w:eastAsia="宋体" w:cs="宋体"/>
          <w:szCs w:val="21"/>
        </w:rPr>
        <w:t>附件二. 技术规范书</w:t>
      </w:r>
    </w:p>
    <w:p>
      <w:pPr>
        <w:tabs>
          <w:tab w:val="left" w:pos="5880"/>
        </w:tabs>
        <w:adjustRightInd w:val="0"/>
        <w:snapToGrid w:val="0"/>
        <w:ind w:firstLine="867" w:firstLineChars="413"/>
        <w:rPr>
          <w:rFonts w:ascii="宋体" w:hAnsi="宋体" w:eastAsia="宋体" w:cs="宋体"/>
          <w:szCs w:val="21"/>
        </w:rPr>
      </w:pPr>
    </w:p>
    <w:p>
      <w:pPr>
        <w:tabs>
          <w:tab w:val="left" w:pos="5880"/>
        </w:tabs>
        <w:adjustRightInd w:val="0"/>
        <w:snapToGrid w:val="0"/>
        <w:rPr>
          <w:rFonts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签字盖章页</w:t>
      </w:r>
    </w:p>
    <w:p>
      <w:pPr>
        <w:tabs>
          <w:tab w:val="left" w:pos="5880"/>
        </w:tabs>
        <w:adjustRightInd w:val="0"/>
        <w:snapToGrid w:val="0"/>
        <w:rPr>
          <w:rFonts w:ascii="宋体" w:hAnsi="宋体" w:eastAsia="宋体" w:cs="宋体"/>
          <w:b/>
          <w:szCs w:val="21"/>
        </w:rPr>
      </w:pPr>
    </w:p>
    <w:p>
      <w:pPr>
        <w:tabs>
          <w:tab w:val="left" w:pos="5880"/>
        </w:tabs>
        <w:adjustRightInd w:val="0"/>
        <w:snapToGrid w:val="0"/>
        <w:rPr>
          <w:rFonts w:ascii="宋体" w:hAnsi="宋体" w:eastAsia="宋体" w:cs="宋体"/>
          <w:b/>
          <w:szCs w:val="21"/>
        </w:rPr>
      </w:pPr>
      <w:r>
        <w:rPr>
          <w:rFonts w:hint="eastAsia" w:ascii="宋体" w:hAnsi="宋体" w:eastAsia="宋体" w:cs="宋体"/>
          <w:b/>
          <w:szCs w:val="21"/>
        </w:rPr>
        <w:t>甲方：</w:t>
      </w:r>
    </w:p>
    <w:p>
      <w:pPr>
        <w:tabs>
          <w:tab w:val="left" w:pos="5880"/>
        </w:tabs>
        <w:adjustRightInd w:val="0"/>
        <w:snapToGrid w:val="0"/>
        <w:rPr>
          <w:rFonts w:ascii="宋体" w:hAnsi="宋体" w:eastAsia="宋体" w:cs="宋体"/>
          <w:b/>
          <w:szCs w:val="21"/>
        </w:rPr>
      </w:pPr>
    </w:p>
    <w:p>
      <w:pPr>
        <w:tabs>
          <w:tab w:val="left" w:pos="5880"/>
        </w:tabs>
        <w:adjustRightInd w:val="0"/>
        <w:snapToGrid w:val="0"/>
        <w:rPr>
          <w:rFonts w:ascii="宋体" w:hAnsi="宋体" w:eastAsia="宋体" w:cs="宋体"/>
          <w:b/>
          <w:szCs w:val="21"/>
        </w:rPr>
      </w:pPr>
      <w:r>
        <w:rPr>
          <w:rFonts w:hint="eastAsia" w:ascii="宋体" w:hAnsi="宋体" w:eastAsia="宋体" w:cs="宋体"/>
          <w:b/>
          <w:szCs w:val="21"/>
        </w:rPr>
        <w:t>授权代表：</w:t>
      </w:r>
    </w:p>
    <w:p>
      <w:pPr>
        <w:tabs>
          <w:tab w:val="left" w:pos="5880"/>
        </w:tabs>
        <w:adjustRightInd w:val="0"/>
        <w:snapToGrid w:val="0"/>
        <w:rPr>
          <w:rFonts w:ascii="宋体" w:hAnsi="宋体" w:eastAsia="宋体" w:cs="宋体"/>
          <w:b/>
          <w:szCs w:val="21"/>
        </w:rPr>
      </w:pPr>
    </w:p>
    <w:p>
      <w:pPr>
        <w:tabs>
          <w:tab w:val="left" w:pos="5880"/>
        </w:tabs>
        <w:adjustRightInd w:val="0"/>
        <w:snapToGrid w:val="0"/>
        <w:rPr>
          <w:rFonts w:ascii="宋体" w:hAnsi="宋体" w:eastAsia="宋体" w:cs="宋体"/>
          <w:b/>
          <w:szCs w:val="21"/>
        </w:rPr>
      </w:pPr>
      <w:r>
        <w:rPr>
          <w:rFonts w:hint="eastAsia" w:ascii="宋体" w:hAnsi="宋体" w:eastAsia="宋体" w:cs="宋体"/>
          <w:b/>
          <w:szCs w:val="21"/>
        </w:rPr>
        <w:t>日期：</w:t>
      </w:r>
    </w:p>
    <w:p>
      <w:pPr>
        <w:tabs>
          <w:tab w:val="left" w:pos="5880"/>
        </w:tabs>
        <w:adjustRightInd w:val="0"/>
        <w:snapToGrid w:val="0"/>
        <w:rPr>
          <w:rFonts w:ascii="宋体" w:hAnsi="宋体" w:eastAsia="宋体" w:cs="宋体"/>
          <w:b/>
          <w:szCs w:val="21"/>
        </w:rPr>
      </w:pPr>
    </w:p>
    <w:p>
      <w:pPr>
        <w:tabs>
          <w:tab w:val="left" w:pos="5880"/>
        </w:tabs>
        <w:adjustRightInd w:val="0"/>
        <w:snapToGrid w:val="0"/>
        <w:rPr>
          <w:rFonts w:ascii="宋体" w:hAnsi="宋体" w:eastAsia="宋体" w:cs="宋体"/>
          <w:b/>
          <w:szCs w:val="21"/>
        </w:rPr>
      </w:pPr>
    </w:p>
    <w:p>
      <w:pPr>
        <w:tabs>
          <w:tab w:val="left" w:pos="5880"/>
        </w:tabs>
        <w:adjustRightInd w:val="0"/>
        <w:snapToGrid w:val="0"/>
        <w:rPr>
          <w:rFonts w:ascii="宋体" w:hAnsi="宋体" w:eastAsia="宋体" w:cs="宋体"/>
          <w:b/>
          <w:szCs w:val="21"/>
        </w:rPr>
      </w:pPr>
      <w:r>
        <w:rPr>
          <w:rFonts w:hint="eastAsia" w:ascii="宋体" w:hAnsi="宋体" w:eastAsia="宋体" w:cs="宋体"/>
          <w:b/>
          <w:szCs w:val="21"/>
        </w:rPr>
        <w:t>乙方：</w:t>
      </w:r>
    </w:p>
    <w:p>
      <w:pPr>
        <w:tabs>
          <w:tab w:val="left" w:pos="5880"/>
        </w:tabs>
        <w:adjustRightInd w:val="0"/>
        <w:snapToGrid w:val="0"/>
        <w:rPr>
          <w:rFonts w:ascii="宋体" w:hAnsi="宋体" w:eastAsia="宋体" w:cs="宋体"/>
          <w:b/>
          <w:szCs w:val="21"/>
        </w:rPr>
      </w:pPr>
    </w:p>
    <w:p>
      <w:pPr>
        <w:tabs>
          <w:tab w:val="left" w:pos="5880"/>
        </w:tabs>
        <w:adjustRightInd w:val="0"/>
        <w:snapToGrid w:val="0"/>
        <w:rPr>
          <w:rFonts w:ascii="宋体" w:hAnsi="宋体" w:eastAsia="宋体" w:cs="宋体"/>
          <w:b/>
          <w:szCs w:val="21"/>
        </w:rPr>
      </w:pPr>
      <w:r>
        <w:rPr>
          <w:rFonts w:hint="eastAsia" w:ascii="宋体" w:hAnsi="宋体" w:eastAsia="宋体" w:cs="宋体"/>
          <w:b/>
          <w:szCs w:val="21"/>
        </w:rPr>
        <w:t>授权代表：</w:t>
      </w:r>
    </w:p>
    <w:p>
      <w:pPr>
        <w:tabs>
          <w:tab w:val="left" w:pos="5880"/>
        </w:tabs>
        <w:adjustRightInd w:val="0"/>
        <w:snapToGrid w:val="0"/>
        <w:rPr>
          <w:rFonts w:ascii="宋体" w:hAnsi="宋体" w:eastAsia="宋体" w:cs="宋体"/>
          <w:b/>
          <w:szCs w:val="21"/>
        </w:rPr>
      </w:pPr>
    </w:p>
    <w:p>
      <w:pPr>
        <w:tabs>
          <w:tab w:val="left" w:pos="5880"/>
        </w:tabs>
        <w:adjustRightInd w:val="0"/>
        <w:snapToGrid w:val="0"/>
        <w:rPr>
          <w:rFonts w:ascii="宋体" w:hAnsi="宋体" w:eastAsia="宋体" w:cs="宋体"/>
          <w:szCs w:val="21"/>
        </w:rPr>
      </w:pPr>
      <w:r>
        <w:rPr>
          <w:rFonts w:hint="eastAsia" w:ascii="宋体" w:hAnsi="宋体" w:eastAsia="宋体" w:cs="宋体"/>
          <w:b/>
          <w:szCs w:val="21"/>
        </w:rPr>
        <w:t>日期</w:t>
      </w:r>
    </w:p>
    <w:p>
      <w:pPr>
        <w:ind w:firstLine="420" w:firstLineChars="200"/>
        <w:rPr>
          <w:rFonts w:ascii="宋体" w:hAnsi="宋体" w:eastAsia="宋体" w:cs="宋体"/>
          <w:szCs w:val="21"/>
        </w:rPr>
      </w:pPr>
    </w:p>
    <w:p>
      <w:pPr>
        <w:rPr>
          <w:rFonts w:ascii="宋体" w:hAnsi="宋体" w:eastAsia="宋体" w:cs="宋体"/>
          <w:szCs w:val="21"/>
        </w:rPr>
      </w:pPr>
    </w:p>
    <w:p>
      <w:pPr>
        <w:spacing w:line="360" w:lineRule="exact"/>
        <w:ind w:firstLine="440" w:firstLineChars="200"/>
        <w:rPr>
          <w:rFonts w:ascii="宋体" w:hAnsi="宋体" w:eastAsia="宋体" w:cs="宋体"/>
          <w:sz w:val="22"/>
        </w:rPr>
      </w:pPr>
      <w:r>
        <w:rPr>
          <w:rFonts w:hint="eastAsia" w:ascii="宋体" w:hAnsi="宋体" w:eastAsia="宋体" w:cs="宋体"/>
          <w:sz w:val="22"/>
        </w:rPr>
        <w:t xml:space="preserve">       </w:t>
      </w:r>
    </w:p>
    <w:p>
      <w:pPr>
        <w:jc w:val="right"/>
        <w:rPr>
          <w:rFonts w:ascii="宋体" w:hAnsi="宋体" w:eastAsia="宋体" w:cs="宋体"/>
          <w:szCs w:val="21"/>
        </w:rPr>
      </w:pPr>
      <w:r>
        <w:rPr>
          <w:rFonts w:hint="eastAsia" w:ascii="宋体" w:hAnsi="宋体" w:eastAsia="宋体" w:cs="宋体"/>
          <w:sz w:val="22"/>
        </w:rPr>
        <w:t>签订时间：     年   月   日</w:t>
      </w:r>
    </w:p>
    <w:p>
      <w:pPr>
        <w:rPr>
          <w:rFonts w:ascii="宋体" w:hAnsi="宋体" w:eastAsia="宋体" w:cs="宋体"/>
          <w:szCs w:val="21"/>
        </w:rPr>
      </w:pPr>
      <w:r>
        <w:rPr>
          <w:rFonts w:hint="eastAsia" w:ascii="宋体" w:hAnsi="宋体" w:eastAsia="宋体" w:cs="宋体"/>
          <w:szCs w:val="21"/>
        </w:rPr>
        <w:br w:type="page"/>
      </w:r>
    </w:p>
    <w:bookmarkEnd w:id="171"/>
    <w:bookmarkEnd w:id="172"/>
    <w:bookmarkEnd w:id="173"/>
    <w:bookmarkEnd w:id="174"/>
    <w:bookmarkEnd w:id="175"/>
    <w:bookmarkEnd w:id="176"/>
    <w:bookmarkEnd w:id="177"/>
    <w:bookmarkEnd w:id="178"/>
    <w:bookmarkEnd w:id="179"/>
    <w:bookmarkEnd w:id="180"/>
    <w:p>
      <w:pPr>
        <w:pStyle w:val="2"/>
        <w:ind w:firstLine="440"/>
        <w:jc w:val="center"/>
        <w:rPr>
          <w:rFonts w:ascii="宋体" w:hAnsi="宋体" w:eastAsia="宋体" w:cs="宋体"/>
          <w:szCs w:val="21"/>
        </w:rPr>
      </w:pPr>
      <w:bookmarkStart w:id="373" w:name="_Toc491780525"/>
      <w:r>
        <w:rPr>
          <w:rFonts w:hint="eastAsia" w:ascii="宋体" w:hAnsi="宋体" w:eastAsia="宋体" w:cs="宋体"/>
          <w:sz w:val="44"/>
          <w:szCs w:val="44"/>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sz w:val="44"/>
          <w:szCs w:val="44"/>
        </w:rPr>
        <w:t xml:space="preserve"> 投标文件的编制格式</w:t>
      </w:r>
      <w:bookmarkEnd w:id="373"/>
    </w:p>
    <w:p>
      <w:pPr>
        <w:spacing w:before="120" w:beforeLines="50" w:after="120" w:afterLines="50"/>
        <w:rPr>
          <w:rFonts w:ascii="宋体" w:hAnsi="宋体" w:eastAsia="宋体" w:cs="宋体"/>
          <w:sz w:val="22"/>
        </w:rPr>
      </w:pPr>
    </w:p>
    <w:p>
      <w:pPr>
        <w:spacing w:before="120" w:beforeLines="50" w:after="120" w:afterLines="50"/>
        <w:rPr>
          <w:rFonts w:ascii="宋体" w:hAnsi="宋体" w:eastAsia="宋体" w:cs="宋体"/>
          <w:sz w:val="22"/>
        </w:rPr>
      </w:pPr>
      <w:r>
        <w:rPr>
          <w:rFonts w:hint="eastAsia" w:ascii="宋体" w:hAnsi="宋体" w:eastAsia="宋体" w:cs="宋体"/>
          <w:sz w:val="22"/>
        </w:rPr>
        <w:t>（技术资信标封面，供参考）</w:t>
      </w:r>
    </w:p>
    <w:p>
      <w:pPr>
        <w:spacing w:line="460" w:lineRule="exact"/>
        <w:jc w:val="right"/>
        <w:rPr>
          <w:rFonts w:ascii="宋体" w:hAnsi="宋体" w:eastAsia="宋体" w:cs="宋体"/>
          <w:b/>
          <w:bCs/>
          <w:sz w:val="28"/>
          <w:szCs w:val="28"/>
        </w:rPr>
      </w:pPr>
      <w:r>
        <w:rPr>
          <w:rFonts w:hint="eastAsia" w:ascii="宋体" w:hAnsi="宋体" w:eastAsia="宋体" w:cs="宋体"/>
          <w:b/>
          <w:bCs/>
          <w:sz w:val="28"/>
          <w:szCs w:val="28"/>
        </w:rPr>
        <w:t>正/副本</w:t>
      </w:r>
    </w:p>
    <w:p>
      <w:pPr>
        <w:jc w:val="right"/>
        <w:rPr>
          <w:rFonts w:ascii="宋体" w:hAnsi="宋体" w:eastAsia="宋体" w:cs="宋体"/>
          <w:szCs w:val="24"/>
        </w:rPr>
      </w:pPr>
    </w:p>
    <w:p>
      <w:pPr>
        <w:rPr>
          <w:rFonts w:ascii="宋体" w:hAnsi="宋体" w:eastAsia="宋体" w:cs="宋体"/>
          <w:szCs w:val="24"/>
        </w:rPr>
      </w:pPr>
    </w:p>
    <w:p>
      <w:pPr>
        <w:ind w:left="480" w:hanging="480" w:hangingChars="200"/>
        <w:rPr>
          <w:rFonts w:ascii="宋体" w:hAnsi="宋体" w:eastAsia="宋体" w:cs="宋体"/>
          <w:sz w:val="24"/>
          <w:szCs w:val="24"/>
        </w:rPr>
      </w:pPr>
    </w:p>
    <w:p>
      <w:pPr>
        <w:rPr>
          <w:rFonts w:ascii="宋体" w:hAnsi="宋体" w:eastAsia="宋体" w:cs="宋体"/>
          <w:szCs w:val="24"/>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投标文件</w:t>
      </w:r>
    </w:p>
    <w:p>
      <w:pPr>
        <w:rPr>
          <w:rFonts w:ascii="宋体" w:hAnsi="宋体" w:eastAsia="宋体" w:cs="宋体"/>
          <w:sz w:val="28"/>
          <w:szCs w:val="28"/>
        </w:rPr>
      </w:pPr>
    </w:p>
    <w:p>
      <w:pPr>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480" w:lineRule="auto"/>
        <w:jc w:val="center"/>
        <w:rPr>
          <w:rFonts w:ascii="宋体" w:hAnsi="宋体" w:eastAsia="宋体" w:cs="宋体"/>
          <w:sz w:val="52"/>
          <w:szCs w:val="52"/>
        </w:rPr>
      </w:pPr>
      <w:r>
        <w:rPr>
          <w:rFonts w:hint="eastAsia" w:ascii="宋体" w:hAnsi="宋体" w:eastAsia="宋体" w:cs="宋体"/>
          <w:sz w:val="52"/>
          <w:szCs w:val="52"/>
        </w:rPr>
        <w:t>技 术 资 信 标</w:t>
      </w:r>
    </w:p>
    <w:p>
      <w:pPr>
        <w:spacing w:line="480" w:lineRule="auto"/>
        <w:jc w:val="center"/>
        <w:rPr>
          <w:rFonts w:ascii="宋体" w:hAnsi="宋体" w:eastAsia="宋体" w:cs="宋体"/>
          <w:sz w:val="44"/>
          <w:szCs w:val="44"/>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autoSpaceDE w:val="0"/>
        <w:autoSpaceDN w:val="0"/>
        <w:adjustRightInd w:val="0"/>
        <w:spacing w:after="120"/>
        <w:ind w:firstLine="210" w:firstLineChars="100"/>
        <w:jc w:val="left"/>
        <w:rPr>
          <w:rFonts w:ascii="宋体" w:hAnsi="宋体" w:eastAsia="宋体" w:cs="宋体"/>
          <w:szCs w:val="24"/>
        </w:rPr>
      </w:pPr>
    </w:p>
    <w:p>
      <w:pPr>
        <w:spacing w:line="360" w:lineRule="auto"/>
        <w:rPr>
          <w:rFonts w:ascii="宋体" w:hAnsi="宋体" w:eastAsia="宋体" w:cs="宋体"/>
          <w:szCs w:val="21"/>
        </w:rPr>
      </w:pPr>
    </w:p>
    <w:p>
      <w:pPr>
        <w:jc w:val="center"/>
        <w:rPr>
          <w:rFonts w:ascii="宋体" w:hAnsi="宋体" w:eastAsia="宋体" w:cs="宋体"/>
          <w:sz w:val="28"/>
          <w:szCs w:val="28"/>
        </w:rPr>
      </w:pPr>
      <w:r>
        <w:rPr>
          <w:rFonts w:hint="eastAsia" w:ascii="宋体" w:hAnsi="宋体" w:eastAsia="宋体" w:cs="宋体"/>
          <w:sz w:val="28"/>
          <w:szCs w:val="28"/>
        </w:rPr>
        <w:t>投标供应商：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rPr>
          <w:rFonts w:ascii="宋体" w:hAnsi="宋体" w:eastAsia="宋体" w:cs="宋体"/>
          <w:sz w:val="28"/>
          <w:szCs w:val="28"/>
          <w:u w:val="single"/>
        </w:rPr>
      </w:pPr>
    </w:p>
    <w:p>
      <w:pPr>
        <w:jc w:val="center"/>
        <w:rPr>
          <w:rFonts w:ascii="宋体" w:hAnsi="宋体" w:eastAsia="宋体" w:cs="宋体"/>
          <w:sz w:val="28"/>
          <w:szCs w:val="28"/>
        </w:rPr>
      </w:pPr>
      <w:r>
        <w:rPr>
          <w:rFonts w:hint="eastAsia" w:ascii="宋体" w:hAnsi="宋体" w:eastAsia="宋体" w:cs="宋体"/>
          <w:sz w:val="28"/>
          <w:szCs w:val="28"/>
        </w:rPr>
        <w:t>法定代表人（法定负责人）或其委托代理人：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after="120"/>
        <w:jc w:val="center"/>
        <w:rPr>
          <w:rFonts w:ascii="宋体" w:hAnsi="宋体" w:eastAsia="宋体" w:cs="宋体"/>
          <w:b/>
          <w:bCs/>
          <w:sz w:val="52"/>
          <w:szCs w:val="52"/>
        </w:rPr>
      </w:pPr>
      <w:r>
        <w:rPr>
          <w:rFonts w:hint="eastAsia" w:ascii="宋体" w:hAnsi="宋体" w:eastAsia="宋体" w:cs="宋体"/>
          <w:szCs w:val="24"/>
        </w:rPr>
        <w:br w:type="page"/>
      </w:r>
    </w:p>
    <w:p>
      <w:pPr>
        <w:jc w:val="center"/>
        <w:rPr>
          <w:rFonts w:ascii="宋体" w:hAnsi="宋体" w:eastAsia="宋体" w:cs="宋体"/>
          <w:snapToGrid w:val="0"/>
          <w:sz w:val="32"/>
          <w:szCs w:val="20"/>
        </w:rPr>
      </w:pPr>
      <w:r>
        <w:rPr>
          <w:rFonts w:hint="eastAsia" w:ascii="宋体" w:hAnsi="宋体" w:eastAsia="宋体" w:cs="宋体"/>
          <w:snapToGrid w:val="0"/>
          <w:sz w:val="32"/>
          <w:szCs w:val="20"/>
        </w:rPr>
        <w:t>目录</w:t>
      </w:r>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8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r>
              <w:rPr>
                <w:rFonts w:hint="eastAsia" w:ascii="宋体" w:hAnsi="宋体" w:eastAsia="宋体" w:cs="宋体"/>
                <w:b/>
                <w:sz w:val="18"/>
                <w:szCs w:val="18"/>
              </w:rPr>
              <w:t>序号</w:t>
            </w:r>
          </w:p>
        </w:tc>
        <w:tc>
          <w:tcPr>
            <w:tcW w:w="7186" w:type="dxa"/>
            <w:vAlign w:val="center"/>
          </w:tcPr>
          <w:p>
            <w:pPr>
              <w:jc w:val="center"/>
              <w:rPr>
                <w:rFonts w:ascii="宋体" w:hAnsi="宋体" w:eastAsia="宋体" w:cs="宋体"/>
                <w:b/>
                <w:sz w:val="18"/>
                <w:szCs w:val="18"/>
              </w:rPr>
            </w:pPr>
            <w:r>
              <w:rPr>
                <w:rFonts w:hint="eastAsia" w:ascii="宋体" w:hAnsi="宋体" w:eastAsia="宋体" w:cs="宋体"/>
                <w:b/>
                <w:sz w:val="18"/>
                <w:szCs w:val="18"/>
              </w:rPr>
              <w:t>内  容</w:t>
            </w:r>
          </w:p>
        </w:tc>
        <w:tc>
          <w:tcPr>
            <w:tcW w:w="1041" w:type="dxa"/>
            <w:vAlign w:val="center"/>
          </w:tcPr>
          <w:p>
            <w:pPr>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p>
        </w:tc>
        <w:tc>
          <w:tcPr>
            <w:tcW w:w="7186" w:type="dxa"/>
            <w:vAlign w:val="center"/>
          </w:tcPr>
          <w:p>
            <w:pPr>
              <w:rPr>
                <w:rFonts w:ascii="宋体" w:hAnsi="宋体" w:eastAsia="宋体" w:cs="宋体"/>
                <w:b/>
                <w:sz w:val="18"/>
                <w:szCs w:val="18"/>
              </w:rPr>
            </w:pPr>
            <w:r>
              <w:rPr>
                <w:rFonts w:hint="eastAsia" w:ascii="宋体" w:hAnsi="宋体" w:eastAsia="宋体" w:cs="宋体"/>
                <w:sz w:val="18"/>
                <w:szCs w:val="18"/>
              </w:rPr>
              <w:t>针对评分细则，编制目录索引，注明评标细则项目所在投标文件页码，格式自拟</w:t>
            </w:r>
          </w:p>
        </w:tc>
        <w:tc>
          <w:tcPr>
            <w:tcW w:w="1041" w:type="dxa"/>
            <w:vAlign w:val="center"/>
          </w:tcPr>
          <w:p>
            <w:pPr>
              <w:jc w:val="center"/>
              <w:rPr>
                <w:rFonts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投标函</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86" w:type="dxa"/>
            <w:vAlign w:val="center"/>
          </w:tcPr>
          <w:p>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如投标人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投标声明书</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7186" w:type="dxa"/>
            <w:vAlign w:val="center"/>
          </w:tcPr>
          <w:p>
            <w:pPr>
              <w:rPr>
                <w:rFonts w:ascii="宋体" w:hAnsi="宋体" w:eastAsia="宋体" w:cs="宋体"/>
                <w:sz w:val="18"/>
                <w:szCs w:val="18"/>
              </w:rPr>
            </w:pPr>
            <w:r>
              <w:rPr>
                <w:rFonts w:hint="eastAsia" w:ascii="宋体" w:hAnsi="宋体" w:eastAsia="宋体" w:cs="宋体"/>
                <w:b/>
                <w:sz w:val="18"/>
                <w:szCs w:val="18"/>
              </w:rPr>
              <w:t>资信证明文件（本项为评分量化内容，非强制性要求）</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4.1</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投标供应商具有的相关资质、资信、荣誉证书等（如有，复印件盖公章）</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免费维护期满后售后服务报价</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根据采购文件中的采购内容及要求以及技术资信评分项目，需要提供的文件和资料（格式自拟）</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投标供应商需要说明的其他文件和说明</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7186" w:type="dxa"/>
            <w:vAlign w:val="center"/>
          </w:tcPr>
          <w:p>
            <w:pPr>
              <w:numPr>
                <w:ilvl w:val="0"/>
                <w:numId w:val="28"/>
              </w:num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供应商投标时须随投标文件一起提供基于真实软件系统演示的视频录像，该视频录像要求用U盘储存，与技术资信标一起密封，并在投标截止时间前提交给代理公司；</w:t>
            </w:r>
          </w:p>
          <w:p>
            <w:pPr>
              <w:numPr>
                <w:ilvl w:val="0"/>
                <w:numId w:val="28"/>
              </w:num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视频播放演示内容须与投标方案保持一致，演示时间控制在25分钟内，演示顺序按投标文件递交的逆序进行，未提交演示视频的不作无效标处理，但演示评分得0分，仅PPT与图片演示不得分。</w:t>
            </w:r>
          </w:p>
        </w:tc>
        <w:tc>
          <w:tcPr>
            <w:tcW w:w="1041" w:type="dxa"/>
            <w:vAlign w:val="center"/>
          </w:tcPr>
          <w:p>
            <w:pPr>
              <w:jc w:val="center"/>
              <w:rPr>
                <w:rFonts w:ascii="宋体" w:hAnsi="宋体" w:eastAsia="宋体" w:cs="宋体"/>
                <w:sz w:val="18"/>
                <w:szCs w:val="18"/>
              </w:rPr>
            </w:pPr>
          </w:p>
        </w:tc>
      </w:tr>
    </w:tbl>
    <w:p>
      <w:pPr>
        <w:jc w:val="left"/>
        <w:rPr>
          <w:rFonts w:ascii="宋体" w:hAnsi="宋体" w:eastAsia="宋体" w:cs="宋体"/>
          <w:snapToGrid w:val="0"/>
          <w:sz w:val="32"/>
          <w:szCs w:val="20"/>
        </w:rPr>
      </w:pPr>
      <w:r>
        <w:rPr>
          <w:rFonts w:hint="eastAsia" w:ascii="宋体" w:hAnsi="宋体" w:eastAsia="宋体" w:cs="宋体"/>
          <w:snapToGrid w:val="0"/>
          <w:sz w:val="32"/>
          <w:szCs w:val="20"/>
        </w:rPr>
        <w:br w:type="page"/>
      </w:r>
    </w:p>
    <w:p>
      <w:pPr>
        <w:pStyle w:val="2"/>
        <w:ind w:firstLine="210"/>
        <w:rPr>
          <w:rFonts w:ascii="宋体" w:hAnsi="宋体" w:eastAsia="宋体" w:cs="宋体"/>
        </w:rPr>
      </w:pPr>
    </w:p>
    <w:p>
      <w:pPr>
        <w:spacing w:line="460" w:lineRule="exact"/>
        <w:jc w:val="center"/>
        <w:rPr>
          <w:rFonts w:ascii="宋体" w:hAnsi="宋体" w:eastAsia="宋体" w:cs="宋体"/>
        </w:rPr>
      </w:pPr>
      <w:r>
        <w:rPr>
          <w:rFonts w:hint="eastAsia" w:ascii="宋体" w:hAnsi="宋体" w:eastAsia="宋体" w:cs="宋体"/>
          <w:b/>
          <w:bCs/>
          <w:sz w:val="30"/>
          <w:szCs w:val="30"/>
        </w:rPr>
        <w:t>评分索引表</w:t>
      </w:r>
    </w:p>
    <w:p>
      <w:pPr>
        <w:spacing w:line="460" w:lineRule="exact"/>
        <w:jc w:val="center"/>
        <w:rPr>
          <w:rFonts w:ascii="宋体" w:hAnsi="宋体" w:eastAsia="宋体" w:cs="宋体"/>
          <w:b/>
          <w:bCs/>
          <w:sz w:val="30"/>
          <w:szCs w:val="30"/>
        </w:rPr>
      </w:pPr>
      <w:r>
        <w:rPr>
          <w:rFonts w:hint="eastAsia" w:ascii="宋体" w:hAnsi="宋体" w:eastAsia="宋体" w:cs="宋体"/>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ascii="宋体" w:hAnsi="宋体" w:eastAsia="宋体" w:cs="宋体"/>
          <w:sz w:val="24"/>
        </w:rPr>
      </w:pPr>
      <w:r>
        <w:rPr>
          <w:rFonts w:hint="eastAsia" w:ascii="宋体" w:hAnsi="宋体" w:eastAsia="宋体" w:cs="宋体"/>
          <w:sz w:val="24"/>
        </w:rPr>
        <w:t>说明：</w:t>
      </w:r>
    </w:p>
    <w:p>
      <w:pPr>
        <w:pStyle w:val="50"/>
        <w:numPr>
          <w:ilvl w:val="0"/>
          <w:numId w:val="29"/>
        </w:numPr>
        <w:spacing w:line="420" w:lineRule="exact"/>
        <w:ind w:firstLineChars="0"/>
        <w:rPr>
          <w:rFonts w:ascii="宋体" w:hAnsi="宋体" w:eastAsia="宋体" w:cs="宋体"/>
          <w:sz w:val="24"/>
          <w:szCs w:val="24"/>
        </w:rPr>
      </w:pPr>
      <w:r>
        <w:rPr>
          <w:rFonts w:hint="eastAsia" w:ascii="宋体" w:hAnsi="宋体" w:eastAsia="宋体" w:cs="宋体"/>
          <w:sz w:val="24"/>
          <w:szCs w:val="24"/>
        </w:rPr>
        <w:t>建议此表放在技术资信标封面后第一页，方便评委打分。</w:t>
      </w:r>
    </w:p>
    <w:p>
      <w:pPr>
        <w:pStyle w:val="50"/>
        <w:numPr>
          <w:ilvl w:val="0"/>
          <w:numId w:val="29"/>
        </w:numPr>
        <w:spacing w:line="420" w:lineRule="exact"/>
        <w:ind w:firstLineChars="0"/>
        <w:rPr>
          <w:rFonts w:ascii="宋体" w:hAnsi="宋体" w:eastAsia="宋体" w:cs="宋体"/>
          <w:sz w:val="24"/>
          <w:szCs w:val="24"/>
        </w:rPr>
      </w:pPr>
      <w:r>
        <w:rPr>
          <w:rFonts w:hint="eastAsia" w:ascii="宋体" w:hAnsi="宋体" w:eastAsia="宋体" w:cs="宋体"/>
          <w:sz w:val="24"/>
          <w:szCs w:val="24"/>
        </w:rPr>
        <w:t>格式可自拟。</w:t>
      </w:r>
    </w:p>
    <w:p>
      <w:pPr>
        <w:pStyle w:val="2"/>
        <w:ind w:firstLine="210"/>
        <w:rPr>
          <w:rFonts w:ascii="宋体" w:hAnsi="宋体" w:eastAsia="宋体" w:cs="宋体"/>
        </w:rPr>
      </w:pPr>
    </w:p>
    <w:p>
      <w:pPr>
        <w:overflowPunct w:val="0"/>
        <w:spacing w:line="460" w:lineRule="exact"/>
        <w:rPr>
          <w:rFonts w:ascii="宋体" w:hAnsi="宋体" w:eastAsia="宋体" w:cs="宋体"/>
          <w:b/>
          <w:bCs/>
          <w:sz w:val="22"/>
        </w:rPr>
      </w:pPr>
      <w:r>
        <w:rPr>
          <w:rFonts w:hint="eastAsia" w:ascii="宋体" w:hAnsi="宋体" w:eastAsia="宋体" w:cs="宋体"/>
          <w:b/>
          <w:bCs/>
          <w:sz w:val="22"/>
        </w:rPr>
        <w:br w:type="page"/>
      </w:r>
      <w:r>
        <w:rPr>
          <w:rFonts w:hint="eastAsia" w:ascii="宋体" w:hAnsi="宋体" w:eastAsia="宋体" w:cs="宋体"/>
          <w:b/>
          <w:bCs/>
          <w:sz w:val="22"/>
        </w:rPr>
        <w:t>附件一</w:t>
      </w:r>
    </w:p>
    <w:p>
      <w:pPr>
        <w:overflowPunct w:val="0"/>
        <w:spacing w:line="460" w:lineRule="exact"/>
        <w:jc w:val="center"/>
        <w:rPr>
          <w:rFonts w:ascii="宋体" w:hAnsi="宋体" w:eastAsia="宋体" w:cs="宋体"/>
          <w:b/>
          <w:bCs/>
          <w:sz w:val="28"/>
          <w:szCs w:val="28"/>
        </w:rPr>
      </w:pPr>
      <w:r>
        <w:rPr>
          <w:rFonts w:hint="eastAsia" w:ascii="宋体" w:hAnsi="宋体" w:eastAsia="宋体" w:cs="宋体"/>
          <w:b/>
          <w:bCs/>
          <w:sz w:val="28"/>
          <w:szCs w:val="28"/>
        </w:rPr>
        <w:t>投 标 函</w:t>
      </w:r>
    </w:p>
    <w:p>
      <w:pPr>
        <w:overflowPunct w:val="0"/>
        <w:spacing w:line="420" w:lineRule="exact"/>
        <w:rPr>
          <w:rFonts w:ascii="宋体" w:hAnsi="宋体" w:eastAsia="宋体" w:cs="宋体"/>
          <w:sz w:val="22"/>
        </w:rPr>
      </w:pPr>
      <w:r>
        <w:rPr>
          <w:rFonts w:hint="eastAsia" w:ascii="宋体" w:hAnsi="宋体" w:eastAsia="宋体" w:cs="宋体"/>
          <w:sz w:val="22"/>
        </w:rPr>
        <w:t>温州市交通发展集团有限公司：</w:t>
      </w:r>
    </w:p>
    <w:p>
      <w:pPr>
        <w:overflowPunct w:val="0"/>
        <w:spacing w:line="420" w:lineRule="exact"/>
        <w:rPr>
          <w:rFonts w:ascii="宋体" w:hAnsi="宋体" w:eastAsia="宋体" w:cs="宋体"/>
          <w:sz w:val="22"/>
        </w:rPr>
      </w:pPr>
      <w:r>
        <w:rPr>
          <w:rFonts w:hint="eastAsia" w:ascii="宋体" w:hAnsi="宋体" w:eastAsia="宋体" w:cs="宋体"/>
          <w:sz w:val="22"/>
        </w:rPr>
        <w:t>浙江国际招（投）标公司：</w:t>
      </w:r>
    </w:p>
    <w:p>
      <w:pPr>
        <w:overflowPunct w:val="0"/>
        <w:spacing w:line="420" w:lineRule="exact"/>
        <w:ind w:firstLine="440" w:firstLineChars="200"/>
        <w:rPr>
          <w:rFonts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w:t>
      </w:r>
      <w:r>
        <w:rPr>
          <w:rFonts w:hint="eastAsia" w:ascii="宋体" w:hAnsi="宋体" w:eastAsia="宋体" w:cs="宋体"/>
          <w:sz w:val="22"/>
        </w:rPr>
        <w:t>项目（采购编号：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rPr>
        <w:t>（投标供应商名称）作为投标供应商正式授权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pPr>
        <w:overflowPunct w:val="0"/>
        <w:adjustRightInd w:val="0"/>
        <w:spacing w:line="420" w:lineRule="exact"/>
        <w:ind w:firstLine="440"/>
        <w:textAlignment w:val="baseline"/>
        <w:rPr>
          <w:rFonts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（—）按“投标供应商须知”要求编制的投标文件技术标【正本一份，副本六份】；</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（二）按“投标供应商须知”要求编制的投标文件商务（报价）标【正本一份，副本六份】</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（一）本投标文件的有效期自投标截止日起</w:t>
      </w:r>
      <w:r>
        <w:rPr>
          <w:rFonts w:hint="eastAsia" w:ascii="宋体" w:hAnsi="宋体" w:eastAsia="宋体" w:cs="宋体"/>
          <w:b/>
          <w:sz w:val="22"/>
          <w:szCs w:val="24"/>
          <w:u w:val="single"/>
        </w:rPr>
        <w:t xml:space="preserve"> 90 </w:t>
      </w:r>
      <w:r>
        <w:rPr>
          <w:rFonts w:hint="eastAsia" w:ascii="宋体" w:hAnsi="宋体" w:eastAsia="宋体" w:cs="宋体"/>
          <w:b/>
          <w:sz w:val="22"/>
          <w:szCs w:val="24"/>
        </w:rPr>
        <w:t>天内</w:t>
      </w:r>
      <w:r>
        <w:rPr>
          <w:rFonts w:hint="eastAsia" w:ascii="宋体" w:hAnsi="宋体" w:eastAsia="宋体" w:cs="宋体"/>
          <w:sz w:val="22"/>
          <w:szCs w:val="24"/>
        </w:rPr>
        <w:t>有效，如中标，有效期将延至合同终止日为止；</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（三）我方明白并愿意在规定的开标时间之后，投标供应商在投标有效期内撤回投标，其投标保证金将被贵方没收；</w:t>
      </w:r>
    </w:p>
    <w:p>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（四）我方同意提供按照贵方可能要求的与投标有关的一切数据或资料；</w:t>
      </w:r>
    </w:p>
    <w:p>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（五）我方理解贵方不一定接受最低报价。</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（六）我方如果中标，将保证履行采购文件以及采购文件修改书（如有）中的全部责任和义务，按质、按量、按期完成《合同书》中的全部任务。</w:t>
      </w:r>
    </w:p>
    <w:p>
      <w:pPr>
        <w:overflowPunct w:val="0"/>
        <w:spacing w:line="420" w:lineRule="exact"/>
        <w:ind w:left="315"/>
        <w:rPr>
          <w:rFonts w:ascii="宋体" w:hAnsi="宋体" w:eastAsia="宋体" w:cs="宋体"/>
          <w:sz w:val="22"/>
        </w:rPr>
      </w:pPr>
      <w:r>
        <w:rPr>
          <w:rFonts w:hint="eastAsia" w:ascii="宋体" w:hAnsi="宋体" w:eastAsia="宋体" w:cs="宋体"/>
          <w:sz w:val="22"/>
          <w:szCs w:val="24"/>
        </w:rPr>
        <w:t>（七）所有与本投标有关的函件请发往下列地址：</w:t>
      </w:r>
    </w:p>
    <w:p>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电话</w:t>
      </w:r>
      <w:r>
        <w:rPr>
          <w:rFonts w:hint="eastAsia" w:ascii="宋体" w:hAnsi="宋体" w:eastAsia="宋体" w:cs="宋体"/>
          <w:sz w:val="22"/>
          <w:u w:val="single"/>
        </w:rPr>
        <w:t xml:space="preserve">                           </w:t>
      </w:r>
    </w:p>
    <w:p>
      <w:pPr>
        <w:overflowPunct w:val="0"/>
        <w:spacing w:line="420" w:lineRule="exact"/>
        <w:ind w:firstLine="435"/>
        <w:rPr>
          <w:rFonts w:ascii="宋体" w:hAnsi="宋体" w:eastAsia="宋体" w:cs="宋体"/>
          <w:sz w:val="22"/>
          <w:u w:val="single"/>
        </w:rPr>
      </w:pPr>
      <w:r>
        <w:rPr>
          <w:rFonts w:hint="eastAsia" w:ascii="宋体" w:hAnsi="宋体" w:eastAsia="宋体" w:cs="宋体"/>
          <w:sz w:val="22"/>
        </w:rPr>
        <w:t xml:space="preserve">   传真</w:t>
      </w:r>
      <w:r>
        <w:rPr>
          <w:rFonts w:hint="eastAsia" w:ascii="宋体" w:hAnsi="宋体" w:eastAsia="宋体" w:cs="宋体"/>
          <w:sz w:val="22"/>
          <w:u w:val="single"/>
        </w:rPr>
        <w:t xml:space="preserve">                           </w:t>
      </w:r>
    </w:p>
    <w:p>
      <w:pPr>
        <w:overflowPunct w:val="0"/>
        <w:spacing w:line="420" w:lineRule="exact"/>
        <w:ind w:firstLine="770" w:firstLineChars="350"/>
        <w:rPr>
          <w:rFonts w:ascii="宋体" w:hAnsi="宋体" w:eastAsia="宋体" w:cs="宋体"/>
          <w:sz w:val="22"/>
          <w:u w:val="single"/>
        </w:rPr>
      </w:pPr>
      <w:r>
        <w:rPr>
          <w:rFonts w:hint="eastAsia" w:ascii="宋体" w:hAnsi="宋体" w:eastAsia="宋体" w:cs="宋体"/>
          <w:sz w:val="22"/>
        </w:rPr>
        <w:t>电子邮件</w:t>
      </w:r>
      <w:r>
        <w:rPr>
          <w:rFonts w:hint="eastAsia" w:ascii="宋体" w:hAnsi="宋体" w:eastAsia="宋体" w:cs="宋体"/>
          <w:sz w:val="22"/>
          <w:u w:val="single"/>
        </w:rPr>
        <w:t xml:space="preserve">                       </w:t>
      </w:r>
    </w:p>
    <w:p>
      <w:pPr>
        <w:spacing w:line="360" w:lineRule="auto"/>
        <w:rPr>
          <w:rFonts w:ascii="宋体" w:hAnsi="宋体" w:eastAsia="宋体" w:cs="宋体"/>
          <w:bCs/>
          <w:sz w:val="22"/>
        </w:rPr>
      </w:pPr>
    </w:p>
    <w:p>
      <w:pPr>
        <w:spacing w:line="360" w:lineRule="auto"/>
        <w:rPr>
          <w:rFonts w:ascii="宋体" w:hAnsi="宋体" w:eastAsia="宋体" w:cs="宋体"/>
          <w:bCs/>
          <w:sz w:val="22"/>
        </w:rPr>
      </w:pPr>
      <w:r>
        <w:rPr>
          <w:rFonts w:hint="eastAsia" w:ascii="宋体" w:hAnsi="宋体" w:eastAsia="宋体" w:cs="宋体"/>
          <w:bCs/>
          <w:sz w:val="22"/>
        </w:rPr>
        <w:t>投标人全称（盖公章）：</w:t>
      </w:r>
    </w:p>
    <w:p>
      <w:pPr>
        <w:spacing w:line="360" w:lineRule="auto"/>
        <w:rPr>
          <w:rFonts w:ascii="宋体" w:hAnsi="宋体" w:eastAsia="宋体" w:cs="宋体"/>
          <w:bCs/>
          <w:sz w:val="22"/>
        </w:rPr>
      </w:pPr>
      <w:r>
        <w:rPr>
          <w:rFonts w:hint="eastAsia" w:ascii="宋体" w:hAnsi="宋体" w:eastAsia="宋体" w:cs="宋体"/>
          <w:sz w:val="22"/>
        </w:rPr>
        <w:t>法定代表人（法定负责人）或授权代表</w:t>
      </w:r>
      <w:r>
        <w:rPr>
          <w:rFonts w:hint="eastAsia" w:ascii="宋体" w:hAnsi="宋体" w:eastAsia="宋体" w:cs="宋体"/>
          <w:bCs/>
          <w:sz w:val="22"/>
        </w:rPr>
        <w:t>（签字</w:t>
      </w:r>
      <w:r>
        <w:rPr>
          <w:rFonts w:hint="eastAsia" w:ascii="宋体" w:hAnsi="宋体" w:eastAsia="宋体" w:cs="宋体"/>
          <w:sz w:val="22"/>
        </w:rPr>
        <w:t>或盖章</w:t>
      </w:r>
      <w:r>
        <w:rPr>
          <w:rFonts w:hint="eastAsia" w:ascii="宋体" w:hAnsi="宋体" w:eastAsia="宋体" w:cs="宋体"/>
          <w:bCs/>
          <w:sz w:val="22"/>
        </w:rPr>
        <w:t>）：</w:t>
      </w:r>
    </w:p>
    <w:p>
      <w:pPr>
        <w:spacing w:line="380" w:lineRule="exact"/>
        <w:rPr>
          <w:rFonts w:ascii="宋体" w:hAnsi="宋体" w:eastAsia="宋体" w:cs="宋体"/>
          <w:bCs/>
          <w:sz w:val="22"/>
        </w:rPr>
      </w:pPr>
      <w:r>
        <w:rPr>
          <w:rFonts w:hint="eastAsia" w:ascii="宋体" w:hAnsi="宋体" w:eastAsia="宋体" w:cs="宋体"/>
          <w:bCs/>
          <w:sz w:val="22"/>
        </w:rPr>
        <w:t>日  期：</w:t>
      </w:r>
    </w:p>
    <w:p>
      <w:pPr>
        <w:spacing w:line="380" w:lineRule="exact"/>
        <w:rPr>
          <w:rFonts w:ascii="宋体" w:hAnsi="宋体" w:eastAsia="宋体" w:cs="宋体"/>
          <w:bCs/>
          <w:sz w:val="22"/>
        </w:rPr>
      </w:pPr>
    </w:p>
    <w:p>
      <w:pPr>
        <w:spacing w:line="380" w:lineRule="exact"/>
        <w:rPr>
          <w:rFonts w:ascii="宋体" w:hAnsi="宋体" w:eastAsia="宋体" w:cs="宋体"/>
          <w:sz w:val="22"/>
        </w:rPr>
      </w:pPr>
      <w:r>
        <w:rPr>
          <w:rFonts w:hint="eastAsia" w:ascii="宋体" w:hAnsi="宋体" w:eastAsia="宋体" w:cs="宋体"/>
          <w:b/>
          <w:sz w:val="22"/>
          <w:u w:val="single"/>
        </w:rPr>
        <w:t>▲不提供投标函的投标文件将被视为未实质性响应采购文件。</w:t>
      </w:r>
    </w:p>
    <w:p>
      <w:pPr>
        <w:rPr>
          <w:rFonts w:ascii="宋体" w:hAnsi="宋体" w:eastAsia="宋体" w:cs="宋体"/>
          <w:b/>
          <w:sz w:val="24"/>
          <w:szCs w:val="24"/>
        </w:rPr>
      </w:pPr>
      <w:r>
        <w:rPr>
          <w:rFonts w:hint="eastAsia" w:ascii="宋体" w:hAnsi="宋体" w:eastAsia="宋体" w:cs="宋体"/>
          <w:b/>
          <w:sz w:val="24"/>
          <w:szCs w:val="24"/>
        </w:rPr>
        <w:br w:type="page"/>
      </w:r>
    </w:p>
    <w:p>
      <w:pPr>
        <w:tabs>
          <w:tab w:val="left" w:pos="900"/>
        </w:tabs>
        <w:rPr>
          <w:rFonts w:ascii="宋体" w:hAnsi="宋体" w:eastAsia="宋体" w:cs="宋体"/>
          <w:sz w:val="22"/>
        </w:rPr>
      </w:pPr>
      <w:r>
        <w:rPr>
          <w:rFonts w:hint="eastAsia" w:ascii="宋体" w:hAnsi="宋体" w:eastAsia="宋体" w:cs="宋体"/>
          <w:b/>
          <w:sz w:val="24"/>
          <w:szCs w:val="24"/>
        </w:rPr>
        <w:t>附件二</w:t>
      </w:r>
    </w:p>
    <w:p>
      <w:pPr>
        <w:spacing w:line="460" w:lineRule="exact"/>
        <w:ind w:firstLine="437"/>
        <w:jc w:val="center"/>
        <w:rPr>
          <w:rFonts w:ascii="宋体" w:hAnsi="宋体" w:eastAsia="宋体" w:cs="宋体"/>
          <w:b/>
          <w:bCs/>
          <w:sz w:val="28"/>
          <w:szCs w:val="28"/>
        </w:rPr>
      </w:pPr>
      <w:r>
        <w:rPr>
          <w:rFonts w:hint="eastAsia" w:ascii="宋体" w:hAnsi="宋体" w:eastAsia="宋体" w:cs="宋体"/>
          <w:b/>
          <w:bCs/>
          <w:sz w:val="28"/>
          <w:szCs w:val="28"/>
        </w:rPr>
        <w:t>技术规格、商务条款偏离表</w:t>
      </w:r>
    </w:p>
    <w:p>
      <w:pPr>
        <w:spacing w:line="380" w:lineRule="exact"/>
        <w:rPr>
          <w:rFonts w:ascii="宋体" w:hAnsi="宋体" w:eastAsia="宋体" w:cs="宋体"/>
          <w:b/>
          <w:bCs/>
          <w:sz w:val="22"/>
        </w:rPr>
      </w:pPr>
      <w:r>
        <w:rPr>
          <w:rFonts w:hint="eastAsia" w:ascii="宋体" w:hAnsi="宋体" w:eastAsia="宋体" w:cs="宋体"/>
          <w:b/>
          <w:bCs/>
          <w:sz w:val="22"/>
        </w:rPr>
        <w:t xml:space="preserve">项目名称：                          采购编号：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pPr>
              <w:jc w:val="center"/>
              <w:rPr>
                <w:rFonts w:ascii="宋体" w:hAnsi="宋体" w:eastAsia="宋体" w:cs="宋体"/>
                <w:sz w:val="22"/>
              </w:rPr>
            </w:pPr>
            <w:r>
              <w:rPr>
                <w:rFonts w:hint="eastAsia" w:ascii="宋体" w:hAnsi="宋体" w:eastAsia="宋体" w:cs="宋体"/>
                <w:sz w:val="22"/>
              </w:rPr>
              <w:t>投标文件内容</w:t>
            </w:r>
          </w:p>
        </w:tc>
        <w:tc>
          <w:tcPr>
            <w:tcW w:w="1147" w:type="dxa"/>
            <w:vMerge w:val="restart"/>
            <w:vAlign w:val="center"/>
          </w:tcPr>
          <w:p>
            <w:pPr>
              <w:jc w:val="center"/>
              <w:rPr>
                <w:rFonts w:ascii="宋体" w:hAnsi="宋体" w:eastAsia="宋体" w:cs="宋体"/>
                <w:sz w:val="22"/>
              </w:rPr>
            </w:pPr>
            <w:r>
              <w:rPr>
                <w:rFonts w:hint="eastAsia" w:ascii="宋体" w:hAnsi="宋体" w:eastAsia="宋体" w:cs="宋体"/>
                <w:sz w:val="22"/>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210" w:type="dxa"/>
            <w:gridSpan w:val="2"/>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23"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实际响应的具体内容</w:t>
            </w:r>
          </w:p>
        </w:tc>
        <w:tc>
          <w:tcPr>
            <w:tcW w:w="1147" w:type="dxa"/>
            <w:vMerge w:val="continue"/>
            <w:vAlign w:val="center"/>
          </w:tcPr>
          <w:p>
            <w:pPr>
              <w:autoSpaceDE w:val="0"/>
              <w:autoSpaceDN w:val="0"/>
              <w:adjustRightInd w:val="0"/>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ascii="宋体" w:hAnsi="宋体" w:eastAsia="宋体" w:cs="宋体"/>
                <w:sz w:val="22"/>
              </w:rPr>
            </w:pPr>
            <w:r>
              <w:rPr>
                <w:rFonts w:hint="eastAsia" w:ascii="宋体" w:hAnsi="宋体" w:eastAsia="宋体" w:cs="宋体"/>
                <w:sz w:val="22"/>
              </w:rPr>
              <w:t xml:space="preserve">     技  术  偏  离</w:t>
            </w: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pPr>
              <w:jc w:val="center"/>
              <w:rPr>
                <w:rFonts w:ascii="宋体" w:hAnsi="宋体" w:eastAsia="宋体" w:cs="宋体"/>
                <w:sz w:val="22"/>
              </w:rPr>
            </w:pPr>
            <w:r>
              <w:rPr>
                <w:rFonts w:hint="eastAsia" w:ascii="宋体" w:hAnsi="宋体" w:eastAsia="宋体" w:cs="宋体"/>
                <w:sz w:val="22"/>
              </w:rPr>
              <w:t>投标文件内容</w:t>
            </w: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96"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37" w:type="dxa"/>
            <w:gridSpan w:val="2"/>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47" w:type="dxa"/>
            <w:vAlign w:val="center"/>
          </w:tcPr>
          <w:p>
            <w:pPr>
              <w:autoSpaceDE w:val="0"/>
              <w:autoSpaceDN w:val="0"/>
              <w:adjustRightInd w:val="0"/>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bl>
    <w:p>
      <w:pPr>
        <w:rPr>
          <w:rFonts w:ascii="宋体" w:hAnsi="宋体" w:eastAsia="宋体" w:cs="宋体"/>
          <w:szCs w:val="21"/>
        </w:rPr>
      </w:pPr>
      <w:r>
        <w:rPr>
          <w:rFonts w:hint="eastAsia" w:ascii="宋体" w:hAnsi="宋体" w:eastAsia="宋体" w:cs="宋体"/>
          <w:szCs w:val="21"/>
        </w:rPr>
        <w:t>注：1、此表可扩展使用。</w:t>
      </w:r>
    </w:p>
    <w:p>
      <w:pPr>
        <w:ind w:firstLine="420" w:firstLineChars="200"/>
        <w:rPr>
          <w:rFonts w:ascii="宋体" w:hAnsi="宋体" w:eastAsia="宋体" w:cs="宋体"/>
          <w:szCs w:val="21"/>
        </w:rPr>
      </w:pPr>
      <w:r>
        <w:rPr>
          <w:rFonts w:hint="eastAsia" w:ascii="宋体" w:hAnsi="宋体" w:eastAsia="宋体" w:cs="宋体"/>
          <w:szCs w:val="21"/>
        </w:rPr>
        <w:t>2、不填写此表视为完全响应采购文件内容。</w:t>
      </w:r>
    </w:p>
    <w:p>
      <w:pPr>
        <w:ind w:firstLine="422" w:firstLineChars="200"/>
        <w:rPr>
          <w:rFonts w:ascii="宋体" w:hAnsi="宋体" w:eastAsia="宋体" w:cs="宋体"/>
          <w:b/>
          <w:szCs w:val="21"/>
          <w:u w:val="single"/>
        </w:rPr>
      </w:pPr>
      <w:r>
        <w:rPr>
          <w:rFonts w:hint="eastAsia" w:ascii="宋体" w:hAnsi="宋体" w:eastAsia="宋体" w:cs="宋体"/>
          <w:b/>
          <w:szCs w:val="21"/>
          <w:u w:val="single"/>
        </w:rPr>
        <w:t>3、▲不提供“技术规格、商务条款偏离表”的投标文件将被视为未实质性响应采购文件。</w:t>
      </w:r>
    </w:p>
    <w:p>
      <w:pPr>
        <w:spacing w:line="380" w:lineRule="exact"/>
        <w:ind w:firstLine="422" w:firstLineChars="200"/>
        <w:rPr>
          <w:rFonts w:ascii="宋体" w:hAnsi="宋体" w:eastAsia="宋体" w:cs="宋体"/>
          <w:b/>
          <w:sz w:val="22"/>
        </w:rPr>
      </w:pPr>
      <w:r>
        <w:rPr>
          <w:rFonts w:hint="eastAsia" w:ascii="宋体" w:hAnsi="宋体" w:eastAsia="宋体" w:cs="宋体"/>
          <w:b/>
          <w:szCs w:val="21"/>
          <w:u w:val="single"/>
        </w:rPr>
        <w:t>4、▲如果投标文件其他地方描述与本表不一致，评标委员会评标时没有发现的，签订合同时原则上以有利于采购人的解释为准。</w:t>
      </w:r>
    </w:p>
    <w:p>
      <w:pPr>
        <w:spacing w:line="380" w:lineRule="exact"/>
        <w:ind w:firstLine="4417" w:firstLineChars="2000"/>
        <w:rPr>
          <w:rFonts w:ascii="宋体" w:hAnsi="宋体" w:eastAsia="宋体" w:cs="宋体"/>
          <w:b/>
          <w:sz w:val="22"/>
        </w:rPr>
      </w:pPr>
    </w:p>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rPr>
        <w:t>法定代表人（法定负责人）或授权代表（签字或盖章）：</w:t>
      </w:r>
    </w:p>
    <w:p>
      <w:pPr>
        <w:spacing w:line="480" w:lineRule="auto"/>
        <w:rPr>
          <w:rFonts w:ascii="宋体" w:hAnsi="宋体" w:eastAsia="宋体" w:cs="宋体"/>
          <w:sz w:val="22"/>
        </w:rPr>
      </w:pPr>
      <w:r>
        <w:rPr>
          <w:rFonts w:hint="eastAsia" w:ascii="宋体" w:hAnsi="宋体" w:eastAsia="宋体" w:cs="宋体"/>
          <w:sz w:val="22"/>
        </w:rPr>
        <w:t>日  期：</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附件三</w:t>
      </w:r>
    </w:p>
    <w:p>
      <w:pPr>
        <w:spacing w:line="460" w:lineRule="exact"/>
        <w:jc w:val="center"/>
        <w:rPr>
          <w:rFonts w:ascii="宋体" w:hAnsi="宋体" w:eastAsia="宋体" w:cs="宋体"/>
          <w:b/>
          <w:sz w:val="28"/>
          <w:szCs w:val="28"/>
        </w:rPr>
      </w:pPr>
      <w:r>
        <w:rPr>
          <w:rFonts w:hint="eastAsia" w:ascii="宋体" w:hAnsi="宋体" w:eastAsia="宋体" w:cs="宋体"/>
          <w:b/>
          <w:bCs/>
          <w:sz w:val="28"/>
          <w:szCs w:val="28"/>
        </w:rPr>
        <w:t>资格证明文件</w:t>
      </w:r>
    </w:p>
    <w:p>
      <w:pPr>
        <w:tabs>
          <w:tab w:val="left" w:pos="0"/>
          <w:tab w:val="left" w:pos="420"/>
        </w:tabs>
        <w:spacing w:line="400" w:lineRule="exact"/>
        <w:jc w:val="center"/>
        <w:rPr>
          <w:rFonts w:ascii="宋体" w:hAnsi="宋体" w:eastAsia="宋体" w:cs="宋体"/>
          <w:sz w:val="28"/>
          <w:szCs w:val="28"/>
        </w:rPr>
      </w:pPr>
      <w:r>
        <w:rPr>
          <w:rFonts w:hint="eastAsia" w:ascii="宋体" w:hAnsi="宋体" w:eastAsia="宋体" w:cs="宋体"/>
          <w:sz w:val="28"/>
          <w:szCs w:val="28"/>
        </w:rPr>
        <w:t>（1）法定代表人（法定负责人）授权书</w:t>
      </w:r>
    </w:p>
    <w:p>
      <w:pPr>
        <w:spacing w:line="420" w:lineRule="exact"/>
        <w:jc w:val="center"/>
        <w:rPr>
          <w:rFonts w:ascii="宋体" w:hAnsi="宋体" w:eastAsia="宋体" w:cs="宋体"/>
          <w:sz w:val="22"/>
        </w:rPr>
      </w:pPr>
      <w:r>
        <w:rPr>
          <w:rFonts w:hint="eastAsia" w:ascii="宋体" w:hAnsi="宋体" w:eastAsia="宋体" w:cs="宋体"/>
          <w:sz w:val="22"/>
        </w:rPr>
        <w:t>（授权代表参加投标时提供）</w:t>
      </w:r>
    </w:p>
    <w:p>
      <w:pPr>
        <w:spacing w:line="420" w:lineRule="exact"/>
        <w:rPr>
          <w:rFonts w:ascii="宋体" w:hAnsi="宋体" w:eastAsia="宋体" w:cs="宋体"/>
          <w:sz w:val="22"/>
        </w:rPr>
      </w:pPr>
      <w:r>
        <w:rPr>
          <w:rFonts w:hint="eastAsia" w:ascii="宋体" w:hAnsi="宋体" w:eastAsia="宋体" w:cs="宋体"/>
          <w:sz w:val="22"/>
        </w:rPr>
        <w:t>温州市交通发展集团有限公司：</w:t>
      </w:r>
    </w:p>
    <w:p>
      <w:pPr>
        <w:spacing w:line="420" w:lineRule="exact"/>
        <w:rPr>
          <w:rFonts w:ascii="宋体" w:hAnsi="宋体" w:eastAsia="宋体" w:cs="宋体"/>
          <w:sz w:val="22"/>
        </w:rPr>
      </w:pPr>
      <w:r>
        <w:rPr>
          <w:rFonts w:hint="eastAsia" w:ascii="宋体" w:hAnsi="宋体" w:eastAsia="宋体" w:cs="宋体"/>
          <w:sz w:val="22"/>
        </w:rPr>
        <w:t>浙江国际招（投）标公司：</w:t>
      </w:r>
    </w:p>
    <w:p>
      <w:pPr>
        <w:spacing w:line="460" w:lineRule="exact"/>
        <w:rPr>
          <w:rFonts w:ascii="宋体" w:hAnsi="宋体" w:eastAsia="宋体" w:cs="宋体"/>
          <w:sz w:val="22"/>
        </w:rPr>
      </w:pPr>
    </w:p>
    <w:p>
      <w:pPr>
        <w:spacing w:line="460" w:lineRule="exact"/>
        <w:ind w:firstLine="550" w:firstLineChars="25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（投标人全称）法定代表人（法定负责人）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（全权代表姓名）为全权代表，参加贵处组织的（采购项目名称、编号）的采购活动，全权代表我方处理采购活动中的一切事宜。</w:t>
      </w:r>
    </w:p>
    <w:p>
      <w:pPr>
        <w:spacing w:line="460" w:lineRule="exact"/>
        <w:ind w:firstLine="2955"/>
        <w:rPr>
          <w:rFonts w:ascii="宋体" w:hAnsi="宋体" w:eastAsia="宋体" w:cs="宋体"/>
          <w:sz w:val="22"/>
        </w:rPr>
      </w:pPr>
    </w:p>
    <w:p>
      <w:pPr>
        <w:spacing w:line="480" w:lineRule="auto"/>
        <w:rPr>
          <w:rFonts w:ascii="宋体" w:hAnsi="宋体" w:eastAsia="宋体" w:cs="宋体"/>
          <w:sz w:val="22"/>
        </w:rPr>
      </w:pPr>
      <w:r>
        <w:rPr>
          <w:rFonts w:hint="eastAsia" w:ascii="宋体" w:hAnsi="宋体" w:eastAsia="宋体" w:cs="宋体"/>
          <w:sz w:val="22"/>
        </w:rPr>
        <w:t>法定代表人（法定负责人） (签字或盖章)：</w:t>
      </w:r>
    </w:p>
    <w:p>
      <w:pPr>
        <w:spacing w:line="480" w:lineRule="auto"/>
        <w:rPr>
          <w:rFonts w:ascii="宋体" w:hAnsi="宋体" w:eastAsia="宋体" w:cs="宋体"/>
          <w:sz w:val="22"/>
        </w:rPr>
      </w:pPr>
      <w:r>
        <w:rPr>
          <w:rFonts w:hint="eastAsia" w:ascii="宋体" w:hAnsi="宋体" w:eastAsia="宋体" w:cs="宋体"/>
          <w:sz w:val="22"/>
        </w:rPr>
        <w:t>投标人全称（公章）：</w:t>
      </w:r>
    </w:p>
    <w:p>
      <w:pPr>
        <w:spacing w:line="480" w:lineRule="auto"/>
        <w:rPr>
          <w:rFonts w:ascii="宋体" w:hAnsi="宋体" w:eastAsia="宋体" w:cs="宋体"/>
          <w:sz w:val="22"/>
        </w:rPr>
      </w:pPr>
      <w:r>
        <w:rPr>
          <w:rFonts w:hint="eastAsia" w:ascii="宋体" w:hAnsi="宋体" w:eastAsia="宋体" w:cs="宋体"/>
          <w:sz w:val="22"/>
        </w:rPr>
        <w:t>日  期：     年    月   日</w:t>
      </w:r>
    </w:p>
    <w:p>
      <w:pPr>
        <w:spacing w:line="460" w:lineRule="exact"/>
        <w:rPr>
          <w:rFonts w:ascii="宋体" w:hAnsi="宋体" w:eastAsia="宋体" w:cs="宋体"/>
          <w:sz w:val="22"/>
        </w:rPr>
      </w:pPr>
      <w:r>
        <w:rPr>
          <w:rFonts w:hint="eastAsia" w:ascii="宋体" w:hAnsi="宋体" w:eastAsia="宋体" w:cs="宋体"/>
          <w:sz w:val="22"/>
        </w:rPr>
        <w:t>附：</w:t>
      </w:r>
    </w:p>
    <w:p>
      <w:pPr>
        <w:spacing w:line="460" w:lineRule="exact"/>
        <w:ind w:firstLine="220" w:firstLineChars="100"/>
        <w:rPr>
          <w:rFonts w:ascii="宋体" w:hAnsi="宋体" w:eastAsia="宋体" w:cs="宋体"/>
          <w:sz w:val="22"/>
        </w:rPr>
      </w:pPr>
      <w:r>
        <w:rPr>
          <w:rFonts w:hint="eastAsia" w:ascii="宋体" w:hAnsi="宋体" w:eastAsia="宋体" w:cs="宋体"/>
          <w:sz w:val="22"/>
        </w:rPr>
        <w:t>授权代表姓名：</w:t>
      </w:r>
    </w:p>
    <w:p>
      <w:pPr>
        <w:spacing w:line="460" w:lineRule="exact"/>
        <w:ind w:firstLine="220" w:firstLineChars="100"/>
        <w:rPr>
          <w:rFonts w:ascii="宋体" w:hAnsi="宋体" w:eastAsia="宋体" w:cs="宋体"/>
          <w:sz w:val="22"/>
        </w:rPr>
      </w:pPr>
      <w:r>
        <w:rPr>
          <w:rFonts w:hint="eastAsia" w:ascii="宋体" w:hAnsi="宋体" w:eastAsia="宋体" w:cs="宋体"/>
          <w:sz w:val="22"/>
        </w:rPr>
        <w:t>职务：</w:t>
      </w:r>
    </w:p>
    <w:p>
      <w:pPr>
        <w:spacing w:line="460" w:lineRule="exact"/>
        <w:ind w:firstLine="220" w:firstLineChars="100"/>
        <w:rPr>
          <w:rFonts w:ascii="宋体" w:hAnsi="宋体" w:eastAsia="宋体" w:cs="宋体"/>
          <w:sz w:val="22"/>
        </w:rPr>
      </w:pPr>
      <w:r>
        <w:rPr>
          <w:rFonts w:hint="eastAsia" w:ascii="宋体" w:hAnsi="宋体" w:eastAsia="宋体" w:cs="宋体"/>
          <w:sz w:val="22"/>
        </w:rPr>
        <w:t>详细通讯地址：</w:t>
      </w:r>
    </w:p>
    <w:p>
      <w:pPr>
        <w:spacing w:line="460" w:lineRule="exact"/>
        <w:ind w:firstLine="220" w:firstLineChars="100"/>
        <w:rPr>
          <w:rFonts w:ascii="宋体" w:hAnsi="宋体" w:eastAsia="宋体" w:cs="宋体"/>
          <w:sz w:val="22"/>
        </w:rPr>
      </w:pPr>
      <w:r>
        <w:rPr>
          <w:rFonts w:hint="eastAsia" w:ascii="宋体" w:hAnsi="宋体" w:eastAsia="宋体" w:cs="宋体"/>
          <w:sz w:val="22"/>
        </w:rPr>
        <w:t>电话：</w:t>
      </w:r>
    </w:p>
    <w:p>
      <w:pPr>
        <w:spacing w:line="460" w:lineRule="exact"/>
        <w:ind w:firstLine="220" w:firstLineChars="100"/>
        <w:rPr>
          <w:rFonts w:ascii="宋体" w:hAnsi="宋体" w:eastAsia="宋体" w:cs="宋体"/>
          <w:sz w:val="22"/>
        </w:rPr>
      </w:pPr>
      <w:r>
        <w:rPr>
          <w:rFonts w:hint="eastAsia" w:ascii="宋体" w:hAnsi="宋体" w:eastAsia="宋体" w:cs="宋体"/>
          <w:sz w:val="22"/>
        </w:rPr>
        <w:t>传真：</w:t>
      </w:r>
    </w:p>
    <w:p>
      <w:pPr>
        <w:spacing w:line="460" w:lineRule="exact"/>
        <w:ind w:firstLine="220" w:firstLineChars="100"/>
        <w:rPr>
          <w:rFonts w:ascii="宋体" w:hAnsi="宋体" w:eastAsia="宋体" w:cs="宋体"/>
          <w:sz w:val="22"/>
        </w:rPr>
      </w:pPr>
      <w:r>
        <w:rPr>
          <w:rFonts w:hint="eastAsia" w:ascii="宋体" w:hAnsi="宋体" w:eastAsia="宋体" w:cs="宋体"/>
          <w:sz w:val="22"/>
        </w:rPr>
        <w:t>邮政编码:</w:t>
      </w:r>
    </w:p>
    <w:p>
      <w:pPr>
        <w:spacing w:line="460" w:lineRule="exact"/>
        <w:rPr>
          <w:rFonts w:ascii="宋体" w:hAnsi="宋体" w:eastAsia="宋体" w:cs="宋体"/>
          <w:bCs/>
          <w:sz w:val="22"/>
        </w:rPr>
      </w:pPr>
    </w:p>
    <w:tbl>
      <w:tblPr>
        <w:tblStyle w:val="22"/>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7" w:hRule="atLeast"/>
        </w:trPr>
        <w:tc>
          <w:tcPr>
            <w:tcW w:w="4280"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投标人代表身份证复印件</w:t>
            </w:r>
          </w:p>
          <w:p>
            <w:pPr>
              <w:spacing w:line="380" w:lineRule="exact"/>
              <w:jc w:val="center"/>
              <w:rPr>
                <w:rFonts w:ascii="宋体" w:hAnsi="宋体" w:eastAsia="宋体" w:cs="宋体"/>
                <w:bCs/>
                <w:sz w:val="28"/>
                <w:szCs w:val="24"/>
              </w:rPr>
            </w:pPr>
          </w:p>
        </w:tc>
      </w:tr>
    </w:tbl>
    <w:p>
      <w:pPr>
        <w:spacing w:line="400" w:lineRule="exact"/>
        <w:ind w:firstLine="140" w:firstLineChars="64"/>
        <w:rPr>
          <w:rFonts w:ascii="宋体" w:hAnsi="宋体" w:eastAsia="宋体" w:cs="宋体"/>
          <w:sz w:val="22"/>
          <w:szCs w:val="24"/>
        </w:rPr>
      </w:pPr>
    </w:p>
    <w:p>
      <w:pPr>
        <w:widowControl/>
        <w:spacing w:line="480" w:lineRule="atLeast"/>
        <w:jc w:val="center"/>
        <w:rPr>
          <w:rFonts w:ascii="宋体" w:hAnsi="宋体" w:eastAsia="宋体" w:cs="宋体"/>
          <w:bCs/>
          <w:kern w:val="0"/>
          <w:sz w:val="32"/>
          <w:szCs w:val="32"/>
        </w:rPr>
      </w:pPr>
      <w:r>
        <w:rPr>
          <w:rFonts w:hint="eastAsia" w:ascii="宋体" w:hAnsi="宋体" w:eastAsia="宋体" w:cs="宋体"/>
          <w:sz w:val="22"/>
          <w:szCs w:val="24"/>
        </w:rPr>
        <w:br w:type="page"/>
      </w:r>
      <w:r>
        <w:rPr>
          <w:rFonts w:hint="eastAsia" w:ascii="宋体" w:hAnsi="宋体" w:eastAsia="宋体" w:cs="宋体"/>
          <w:bCs/>
          <w:kern w:val="0"/>
          <w:sz w:val="32"/>
          <w:szCs w:val="32"/>
        </w:rPr>
        <w:t>法定代表人（法定负责人）资格证明书</w:t>
      </w:r>
    </w:p>
    <w:p>
      <w:pPr>
        <w:widowControl/>
        <w:spacing w:line="480" w:lineRule="atLeast"/>
        <w:jc w:val="center"/>
        <w:rPr>
          <w:rFonts w:ascii="宋体" w:hAnsi="宋体" w:eastAsia="宋体" w:cs="宋体"/>
          <w:bCs/>
          <w:kern w:val="0"/>
          <w:sz w:val="28"/>
          <w:szCs w:val="28"/>
        </w:rPr>
      </w:pPr>
      <w:r>
        <w:rPr>
          <w:rFonts w:hint="eastAsia" w:ascii="宋体" w:hAnsi="宋体" w:eastAsia="宋体" w:cs="宋体"/>
          <w:bCs/>
          <w:kern w:val="0"/>
          <w:sz w:val="28"/>
          <w:szCs w:val="28"/>
        </w:rPr>
        <w:t>（如法定代表人（法定负责人）参加投标时提供）</w:t>
      </w:r>
    </w:p>
    <w:p>
      <w:pPr>
        <w:widowControl/>
        <w:spacing w:line="360" w:lineRule="auto"/>
        <w:rPr>
          <w:rFonts w:ascii="宋体" w:hAnsi="宋体" w:eastAsia="宋体" w:cs="宋体"/>
          <w:sz w:val="24"/>
          <w:szCs w:val="24"/>
          <w:u w:val="single"/>
        </w:rPr>
      </w:pPr>
    </w:p>
    <w:p>
      <w:pPr>
        <w:spacing w:line="420" w:lineRule="exact"/>
        <w:rPr>
          <w:rFonts w:ascii="宋体" w:hAnsi="宋体" w:eastAsia="宋体" w:cs="宋体"/>
          <w:sz w:val="22"/>
        </w:rPr>
      </w:pPr>
      <w:r>
        <w:rPr>
          <w:rFonts w:hint="eastAsia" w:ascii="宋体" w:hAnsi="宋体" w:eastAsia="宋体" w:cs="宋体"/>
          <w:sz w:val="22"/>
        </w:rPr>
        <w:t>温州市交通发展集团有限公司：</w:t>
      </w:r>
    </w:p>
    <w:p>
      <w:pPr>
        <w:widowControl/>
        <w:spacing w:line="360" w:lineRule="auto"/>
        <w:rPr>
          <w:rFonts w:ascii="宋体" w:hAnsi="宋体" w:eastAsia="宋体" w:cs="宋体"/>
          <w:sz w:val="24"/>
          <w:szCs w:val="24"/>
          <w:u w:val="single"/>
        </w:rPr>
      </w:pPr>
      <w:r>
        <w:rPr>
          <w:rFonts w:hint="eastAsia" w:ascii="宋体" w:hAnsi="宋体" w:eastAsia="宋体" w:cs="宋体"/>
          <w:sz w:val="22"/>
        </w:rPr>
        <w:t>浙江国际招（投）标公司：</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单位名称：</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地址：</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的法定代表人（法定负责人）。为你单位组织的采购编号为</w:t>
      </w:r>
      <w:r>
        <w:rPr>
          <w:rFonts w:hint="eastAsia" w:ascii="宋体" w:hAnsi="宋体" w:eastAsia="宋体" w:cs="宋体"/>
          <w:b/>
          <w:bCs/>
          <w:spacing w:val="20"/>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采购项目，签署上述项目的投标文件、进行合同谈判、签署合同和处理与之有关的一切事务。</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特此证明。</w:t>
      </w:r>
    </w:p>
    <w:p>
      <w:pPr>
        <w:widowControl/>
        <w:spacing w:line="360" w:lineRule="auto"/>
        <w:ind w:left="-540" w:firstLine="540"/>
        <w:jc w:val="center"/>
        <w:rPr>
          <w:rFonts w:ascii="宋体" w:hAnsi="宋体" w:eastAsia="宋体" w:cs="宋体"/>
          <w:b/>
          <w:bCs/>
          <w:kern w:val="0"/>
          <w:sz w:val="24"/>
          <w:szCs w:val="24"/>
        </w:rPr>
      </w:pPr>
    </w:p>
    <w:p>
      <w:pPr>
        <w:widowControl/>
        <w:spacing w:line="360" w:lineRule="auto"/>
        <w:ind w:left="-540" w:firstLine="540"/>
        <w:jc w:val="center"/>
        <w:rPr>
          <w:rFonts w:ascii="宋体" w:hAnsi="宋体" w:eastAsia="宋体" w:cs="宋体"/>
          <w:b/>
          <w:bCs/>
          <w:kern w:val="0"/>
          <w:sz w:val="24"/>
          <w:szCs w:val="24"/>
        </w:rPr>
      </w:pPr>
    </w:p>
    <w:p>
      <w:pPr>
        <w:widowControl/>
        <w:spacing w:line="360" w:lineRule="auto"/>
        <w:ind w:left="-540" w:firstLine="540"/>
        <w:jc w:val="center"/>
        <w:rPr>
          <w:rFonts w:ascii="宋体" w:hAnsi="宋体" w:eastAsia="宋体" w:cs="宋体"/>
          <w:b/>
          <w:bCs/>
          <w:kern w:val="0"/>
          <w:sz w:val="24"/>
          <w:szCs w:val="24"/>
        </w:rPr>
      </w:pPr>
      <w:r>
        <w:rPr>
          <w:rFonts w:hint="eastAsia" w:ascii="宋体" w:hAnsi="宋体" w:eastAsia="宋体" w:cs="宋体"/>
          <w:b/>
          <w:bCs/>
          <w:kern w:val="0"/>
          <w:sz w:val="24"/>
          <w:szCs w:val="24"/>
        </w:rPr>
        <w:t>（※此处请粘贴法定代表人（法定负责人）身份证复印件※）</w:t>
      </w:r>
    </w:p>
    <w:p>
      <w:pPr>
        <w:widowControl/>
        <w:spacing w:line="480" w:lineRule="auto"/>
        <w:ind w:left="420" w:firstLine="473"/>
        <w:jc w:val="left"/>
        <w:rPr>
          <w:rFonts w:ascii="宋体" w:hAnsi="宋体" w:eastAsia="宋体" w:cs="宋体"/>
          <w:kern w:val="0"/>
          <w:sz w:val="24"/>
          <w:szCs w:val="24"/>
        </w:rPr>
      </w:pPr>
    </w:p>
    <w:p>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rPr>
        <w:t>法定代表人（法定负责人）（签字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napToGrid w:val="0"/>
        <w:spacing w:before="60" w:line="480" w:lineRule="auto"/>
        <w:ind w:firstLine="1890"/>
        <w:jc w:val="left"/>
        <w:rPr>
          <w:rFonts w:ascii="宋体" w:hAnsi="宋体" w:eastAsia="宋体" w:cs="宋体"/>
          <w:kern w:val="0"/>
          <w:sz w:val="24"/>
          <w:szCs w:val="24"/>
        </w:rPr>
      </w:pPr>
      <w:r>
        <w:rPr>
          <w:rFonts w:hint="eastAsia" w:ascii="宋体" w:hAnsi="宋体" w:eastAsia="宋体" w:cs="宋体"/>
          <w:kern w:val="0"/>
          <w:sz w:val="24"/>
          <w:szCs w:val="24"/>
        </w:rPr>
        <w:t xml:space="preserve">签署日期：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月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日</w:t>
      </w:r>
    </w:p>
    <w:p>
      <w:pPr>
        <w:widowControl/>
        <w:rPr>
          <w:rFonts w:ascii="宋体" w:hAnsi="宋体" w:eastAsia="宋体" w:cs="宋体"/>
          <w:kern w:val="0"/>
          <w:szCs w:val="21"/>
        </w:rPr>
      </w:pPr>
    </w:p>
    <w:p>
      <w:pPr>
        <w:widowControl/>
        <w:rPr>
          <w:rFonts w:ascii="宋体" w:hAnsi="宋体" w:eastAsia="宋体" w:cs="宋体"/>
          <w:kern w:val="0"/>
          <w:szCs w:val="21"/>
        </w:rPr>
      </w:pPr>
    </w:p>
    <w:p>
      <w:pPr>
        <w:widowControl/>
        <w:spacing w:line="480" w:lineRule="atLeast"/>
        <w:jc w:val="center"/>
        <w:rPr>
          <w:rFonts w:ascii="宋体" w:hAnsi="宋体" w:eastAsia="宋体" w:cs="宋体"/>
          <w:b/>
          <w:bCs/>
          <w:kern w:val="0"/>
          <w:sz w:val="24"/>
          <w:szCs w:val="24"/>
        </w:rPr>
      </w:pPr>
    </w:p>
    <w:p>
      <w:pPr>
        <w:spacing w:line="4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说明：法定代表人（法定负责人）参加本采购项目投标的，仅须提供此证明书。</w:t>
      </w:r>
    </w:p>
    <w:p>
      <w:pPr>
        <w:spacing w:line="460" w:lineRule="exact"/>
        <w:jc w:val="center"/>
        <w:rPr>
          <w:rFonts w:ascii="宋体" w:hAnsi="宋体" w:eastAsia="宋体" w:cs="宋体"/>
          <w:b/>
          <w:bCs/>
          <w:kern w:val="0"/>
          <w:sz w:val="24"/>
          <w:szCs w:val="24"/>
        </w:rPr>
      </w:pPr>
    </w:p>
    <w:p>
      <w:pPr>
        <w:spacing w:line="460" w:lineRule="exact"/>
        <w:jc w:val="center"/>
        <w:rPr>
          <w:rFonts w:ascii="宋体" w:hAnsi="宋体" w:eastAsia="宋体" w:cs="宋体"/>
          <w:b/>
          <w:bCs/>
          <w:kern w:val="0"/>
          <w:sz w:val="24"/>
          <w:szCs w:val="24"/>
        </w:rPr>
      </w:pPr>
    </w:p>
    <w:p>
      <w:pPr>
        <w:rPr>
          <w:rFonts w:ascii="宋体" w:hAnsi="宋体" w:eastAsia="宋体" w:cs="宋体"/>
          <w:b/>
          <w:bCs/>
          <w:sz w:val="24"/>
          <w:szCs w:val="24"/>
        </w:rPr>
      </w:pPr>
      <w:r>
        <w:rPr>
          <w:rFonts w:hint="eastAsia" w:ascii="宋体" w:hAnsi="宋体" w:eastAsia="宋体" w:cs="宋体"/>
          <w:b/>
          <w:bCs/>
          <w:sz w:val="28"/>
          <w:szCs w:val="28"/>
        </w:rPr>
        <w:br w:type="page"/>
      </w:r>
      <w:r>
        <w:rPr>
          <w:rFonts w:hint="eastAsia" w:ascii="宋体" w:hAnsi="宋体" w:eastAsia="宋体" w:cs="宋体"/>
          <w:b/>
          <w:bCs/>
          <w:sz w:val="24"/>
          <w:szCs w:val="24"/>
        </w:rPr>
        <w:t>（2）投标供应商企业法人有效营业执照（或法人登记证书）复印件加盖单位公章</w:t>
      </w:r>
    </w:p>
    <w:p>
      <w:pP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3）如投标人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p>
      <w:pPr>
        <w:snapToGrid w:val="0"/>
        <w:spacing w:before="50" w:after="120" w:afterLines="50"/>
        <w:jc w:val="left"/>
        <w:rPr>
          <w:rFonts w:ascii="宋体" w:hAnsi="宋体" w:eastAsia="宋体" w:cs="宋体"/>
          <w:b/>
          <w:sz w:val="24"/>
          <w:szCs w:val="24"/>
        </w:rPr>
      </w:pPr>
    </w:p>
    <w:p>
      <w:pPr>
        <w:snapToGrid w:val="0"/>
        <w:spacing w:before="50" w:after="120" w:afterLines="50"/>
        <w:jc w:val="left"/>
        <w:rPr>
          <w:rFonts w:ascii="宋体" w:hAnsi="宋体" w:eastAsia="宋体" w:cs="宋体"/>
          <w:b/>
          <w:sz w:val="24"/>
          <w:szCs w:val="24"/>
        </w:rPr>
      </w:pPr>
    </w:p>
    <w:p>
      <w:pPr>
        <w:snapToGrid w:val="0"/>
        <w:spacing w:before="50" w:after="120" w:afterLines="50"/>
        <w:jc w:val="left"/>
        <w:rPr>
          <w:rFonts w:ascii="宋体" w:hAnsi="宋体" w:eastAsia="宋体" w:cs="宋体"/>
          <w:b/>
          <w:sz w:val="24"/>
          <w:szCs w:val="24"/>
        </w:rPr>
      </w:pPr>
      <w:r>
        <w:rPr>
          <w:rFonts w:hint="eastAsia" w:ascii="宋体" w:hAnsi="宋体" w:eastAsia="宋体" w:cs="宋体"/>
          <w:b/>
          <w:sz w:val="24"/>
          <w:szCs w:val="24"/>
        </w:rPr>
        <w:t>以上证书若为复印件，须加盖投标人单位公章</w:t>
      </w:r>
      <w:r>
        <w:rPr>
          <w:rFonts w:hint="eastAsia" w:ascii="宋体" w:hAnsi="宋体" w:eastAsia="宋体" w:cs="宋体"/>
          <w:b/>
          <w:sz w:val="24"/>
          <w:szCs w:val="24"/>
        </w:rPr>
        <w:br w:type="page"/>
      </w:r>
      <w:r>
        <w:rPr>
          <w:rFonts w:hint="eastAsia" w:ascii="宋体" w:hAnsi="宋体" w:eastAsia="宋体" w:cs="宋体"/>
          <w:b/>
          <w:sz w:val="24"/>
          <w:szCs w:val="24"/>
        </w:rPr>
        <w:t>附件四</w:t>
      </w:r>
    </w:p>
    <w:p>
      <w:pPr>
        <w:snapToGrid w:val="0"/>
        <w:spacing w:before="120" w:beforeLines="50" w:after="50"/>
        <w:jc w:val="center"/>
        <w:rPr>
          <w:rFonts w:ascii="宋体" w:hAnsi="宋体" w:eastAsia="宋体" w:cs="宋体"/>
          <w:b/>
          <w:sz w:val="30"/>
          <w:szCs w:val="24"/>
        </w:rPr>
      </w:pPr>
    </w:p>
    <w:p>
      <w:pPr>
        <w:snapToGrid w:val="0"/>
        <w:spacing w:before="120" w:beforeLines="50" w:after="50"/>
        <w:jc w:val="center"/>
        <w:rPr>
          <w:rFonts w:ascii="宋体" w:hAnsi="宋体" w:eastAsia="宋体" w:cs="宋体"/>
          <w:b/>
          <w:sz w:val="24"/>
          <w:szCs w:val="20"/>
        </w:rPr>
      </w:pPr>
      <w:r>
        <w:rPr>
          <w:rFonts w:hint="eastAsia" w:ascii="宋体" w:hAnsi="宋体" w:eastAsia="宋体" w:cs="宋体"/>
          <w:b/>
          <w:sz w:val="30"/>
          <w:szCs w:val="24"/>
        </w:rPr>
        <w:t>（5）投标声明书</w:t>
      </w:r>
    </w:p>
    <w:p>
      <w:pPr>
        <w:snapToGrid w:val="0"/>
        <w:spacing w:before="120" w:beforeLines="50" w:after="50"/>
        <w:rPr>
          <w:rFonts w:ascii="宋体" w:hAnsi="宋体" w:eastAsia="宋体" w:cs="宋体"/>
          <w:sz w:val="22"/>
        </w:rPr>
      </w:pPr>
    </w:p>
    <w:p>
      <w:pPr>
        <w:snapToGrid w:val="0"/>
        <w:spacing w:before="120" w:beforeLines="50" w:after="50"/>
        <w:rPr>
          <w:rFonts w:ascii="宋体" w:hAnsi="宋体" w:eastAsia="宋体" w:cs="宋体"/>
          <w:sz w:val="22"/>
        </w:rPr>
      </w:pPr>
      <w:r>
        <w:rPr>
          <w:rFonts w:hint="eastAsia" w:ascii="宋体" w:hAnsi="宋体" w:eastAsia="宋体" w:cs="宋体"/>
          <w:sz w:val="22"/>
        </w:rPr>
        <w:t>致：</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rPr>
          <w:rFonts w:ascii="宋体" w:hAnsi="宋体" w:eastAsia="宋体" w:cs="宋体"/>
          <w:sz w:val="22"/>
        </w:rPr>
      </w:pPr>
      <w:r>
        <w:rPr>
          <w:rFonts w:hint="eastAsia" w:ascii="宋体" w:hAnsi="宋体" w:eastAsia="宋体" w:cs="宋体"/>
          <w:sz w:val="22"/>
        </w:rPr>
        <w:t>致：</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（投标人名称）系中华人民共和国合法企业/单位，经营地址</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（投标人名称）的法定代表人（法定负责人），我方愿意参加贵方组织的</w:t>
      </w:r>
      <w:r>
        <w:rPr>
          <w:rFonts w:hint="eastAsia" w:ascii="宋体" w:hAnsi="宋体" w:eastAsia="宋体" w:cs="宋体"/>
          <w:sz w:val="22"/>
          <w:u w:val="single"/>
        </w:rPr>
        <w:t xml:space="preserve">   （项目名称名称、项目编号）     </w:t>
      </w:r>
      <w:r>
        <w:rPr>
          <w:rFonts w:hint="eastAsia" w:ascii="宋体" w:hAnsi="宋体" w:eastAsia="宋体" w:cs="宋体"/>
          <w:sz w:val="22"/>
        </w:rPr>
        <w:t>项目的投标，为便于贵方公正、择优地确定中标人及其投标服务，我方就参加本次投标有关事项郑重声明如下：</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1.本投标有效期自开标日起 ______日。</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2.我方向贵方提交的所有投标文件、资料都是准确的和真实的。</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3.我方不是采购人的附属机构；</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4.我方参加本采购项目的整体设计、规范编制或者项目管理、监理、检测等服务情况：</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（姓名）为我单位的正式在职职工，以我方的名义参加</w:t>
      </w:r>
      <w:r>
        <w:rPr>
          <w:rFonts w:hint="eastAsia" w:ascii="宋体" w:hAnsi="宋体" w:eastAsia="宋体" w:cs="宋体"/>
          <w:sz w:val="22"/>
          <w:u w:val="single"/>
        </w:rPr>
        <w:t xml:space="preserve">                             </w:t>
      </w:r>
      <w:r>
        <w:rPr>
          <w:rFonts w:hint="eastAsia" w:ascii="宋体" w:hAnsi="宋体" w:eastAsia="宋体" w:cs="宋体"/>
          <w:sz w:val="22"/>
        </w:rPr>
        <w:t>本项目的投标活动，</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8.我方此次向贵方提供的服务名称为：</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9.我方</w:t>
      </w:r>
      <w:r>
        <w:rPr>
          <w:rFonts w:hint="eastAsia" w:ascii="宋体" w:hAnsi="宋体" w:eastAsia="宋体" w:cs="宋体"/>
          <w:kern w:val="0"/>
          <w:sz w:val="22"/>
        </w:rPr>
        <w:t>参加本次国企采购活动前三年内，在经营活动中的重大违法记录</w:t>
      </w:r>
      <w:r>
        <w:rPr>
          <w:rFonts w:hint="eastAsia" w:ascii="宋体" w:hAnsi="宋体" w:eastAsia="宋体" w:cs="宋体"/>
          <w:sz w:val="22"/>
        </w:rPr>
        <w:t>有：</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u w:val="single"/>
        </w:rPr>
        <w:t>　　　　　　　　　　　　　　　　　　　　　　　　　　　</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10.我方承诺具有履行合同所必需的所必需的场地、设备和专业技术、售后保障等能力。如有虚假，采购人可取消我方任何资格（投标/中标/签订合同），我方对此无任何异议。</w:t>
      </w:r>
    </w:p>
    <w:p>
      <w:pPr>
        <w:snapToGrid w:val="0"/>
        <w:ind w:firstLine="440" w:firstLineChars="200"/>
        <w:rPr>
          <w:rFonts w:ascii="宋体" w:hAnsi="宋体" w:eastAsia="宋体" w:cs="宋体"/>
          <w:sz w:val="22"/>
        </w:rPr>
      </w:pPr>
      <w:r>
        <w:rPr>
          <w:rFonts w:hint="eastAsia" w:ascii="宋体" w:hAnsi="宋体" w:eastAsia="宋体" w:cs="宋体"/>
          <w:sz w:val="22"/>
        </w:rPr>
        <w:t>11.以上事项如有虚假或隐瞒，我方愿意承担一切后果，并不再寻求任何旨在减轻或免除法律责任的辩解。</w:t>
      </w:r>
    </w:p>
    <w:p>
      <w:pPr>
        <w:snapToGrid w:val="0"/>
        <w:spacing w:before="120" w:beforeLines="50"/>
        <w:ind w:firstLine="200"/>
        <w:rPr>
          <w:rFonts w:ascii="宋体" w:hAnsi="宋体" w:eastAsia="宋体" w:cs="宋体"/>
          <w:sz w:val="18"/>
          <w:szCs w:val="18"/>
        </w:rPr>
      </w:pPr>
    </w:p>
    <w:p>
      <w:pPr>
        <w:snapToGrid w:val="0"/>
        <w:spacing w:before="120" w:beforeLines="50" w:line="360" w:lineRule="auto"/>
        <w:ind w:firstLine="200"/>
        <w:rPr>
          <w:rFonts w:ascii="宋体" w:hAnsi="宋体" w:eastAsia="宋体" w:cs="宋体"/>
          <w:sz w:val="22"/>
          <w:u w:val="single"/>
        </w:rPr>
      </w:pPr>
      <w:r>
        <w:rPr>
          <w:rFonts w:hint="eastAsia" w:ascii="宋体" w:hAnsi="宋体" w:eastAsia="宋体" w:cs="宋体"/>
          <w:sz w:val="22"/>
        </w:rPr>
        <w:t>法定代表人（法定负责人）或授权委托人：</w:t>
      </w:r>
      <w:r>
        <w:rPr>
          <w:rFonts w:hint="eastAsia" w:ascii="宋体" w:hAnsi="宋体" w:eastAsia="宋体" w:cs="宋体"/>
          <w:sz w:val="22"/>
          <w:u w:val="single"/>
        </w:rPr>
        <w:t xml:space="preserve">     （签字或盖章） </w:t>
      </w:r>
    </w:p>
    <w:p>
      <w:pPr>
        <w:snapToGrid w:val="0"/>
        <w:spacing w:before="50" w:after="50" w:line="360" w:lineRule="auto"/>
        <w:ind w:firstLine="220" w:firstLineChars="100"/>
        <w:rPr>
          <w:rFonts w:ascii="宋体" w:hAnsi="宋体" w:eastAsia="宋体" w:cs="宋体"/>
          <w:sz w:val="22"/>
          <w:u w:val="single"/>
        </w:rPr>
      </w:pPr>
      <w:r>
        <w:rPr>
          <w:rFonts w:hint="eastAsia" w:ascii="宋体" w:hAnsi="宋体" w:eastAsia="宋体" w:cs="宋体"/>
          <w:sz w:val="22"/>
        </w:rPr>
        <w:t>投标人全称：</w:t>
      </w:r>
      <w:r>
        <w:rPr>
          <w:rFonts w:hint="eastAsia" w:ascii="宋体" w:hAnsi="宋体" w:eastAsia="宋体" w:cs="宋体"/>
          <w:sz w:val="22"/>
          <w:u w:val="single"/>
        </w:rPr>
        <w:t xml:space="preserve">       （盖公章）           </w:t>
      </w:r>
    </w:p>
    <w:p>
      <w:pPr>
        <w:snapToGrid w:val="0"/>
        <w:spacing w:before="50" w:after="50" w:line="360" w:lineRule="auto"/>
        <w:ind w:firstLine="220" w:firstLineChars="100"/>
        <w:rPr>
          <w:rFonts w:ascii="宋体" w:hAnsi="宋体" w:eastAsia="宋体" w:cs="宋体"/>
          <w:sz w:val="22"/>
          <w:szCs w:val="24"/>
        </w:rPr>
      </w:pPr>
      <w:r>
        <w:rPr>
          <w:rFonts w:hint="eastAsia" w:ascii="宋体" w:hAnsi="宋体" w:eastAsia="宋体" w:cs="宋体"/>
          <w:sz w:val="22"/>
        </w:rPr>
        <w:t>年    月    日</w:t>
      </w:r>
    </w:p>
    <w:p>
      <w:pPr>
        <w:ind w:left="826" w:hanging="826" w:hangingChars="294"/>
        <w:rPr>
          <w:rFonts w:ascii="宋体" w:hAnsi="宋体" w:eastAsia="宋体" w:cs="宋体"/>
          <w:b/>
          <w:bCs/>
          <w:sz w:val="28"/>
          <w:szCs w:val="28"/>
        </w:rPr>
      </w:pPr>
      <w:r>
        <w:rPr>
          <w:rFonts w:hint="eastAsia" w:ascii="宋体" w:hAnsi="宋体" w:eastAsia="宋体" w:cs="宋体"/>
          <w:b/>
          <w:bCs/>
          <w:sz w:val="28"/>
          <w:szCs w:val="28"/>
        </w:rPr>
        <w:br w:type="page"/>
      </w:r>
    </w:p>
    <w:p>
      <w:pPr>
        <w:jc w:val="center"/>
        <w:rPr>
          <w:rFonts w:ascii="宋体" w:hAnsi="宋体" w:eastAsia="宋体" w:cs="宋体"/>
          <w:sz w:val="18"/>
          <w:szCs w:val="18"/>
        </w:rPr>
      </w:pPr>
    </w:p>
    <w:p>
      <w:pPr>
        <w:pStyle w:val="2"/>
        <w:ind w:firstLine="0" w:firstLineChars="0"/>
        <w:rPr>
          <w:rFonts w:ascii="宋体" w:hAnsi="宋体" w:eastAsia="宋体" w:cs="宋体"/>
          <w:sz w:val="18"/>
          <w:szCs w:val="18"/>
        </w:rPr>
      </w:pPr>
    </w:p>
    <w:p>
      <w:pPr>
        <w:pStyle w:val="4"/>
        <w:ind w:left="0"/>
        <w:rPr>
          <w:rFonts w:ascii="宋体" w:hAnsi="宋体" w:eastAsia="宋体" w:cs="宋体"/>
        </w:rPr>
      </w:pPr>
    </w:p>
    <w:tbl>
      <w:tblPr>
        <w:tblStyle w:val="2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6951" w:type="dxa"/>
            <w:vAlign w:val="center"/>
          </w:tcPr>
          <w:p>
            <w:pPr>
              <w:rPr>
                <w:rFonts w:ascii="宋体" w:hAnsi="宋体" w:eastAsia="宋体" w:cs="宋体"/>
                <w:sz w:val="18"/>
                <w:szCs w:val="18"/>
              </w:rPr>
            </w:pPr>
            <w:r>
              <w:rPr>
                <w:rFonts w:hint="eastAsia" w:ascii="宋体" w:hAnsi="宋体" w:eastAsia="宋体" w:cs="宋体"/>
                <w:b/>
                <w:sz w:val="18"/>
                <w:szCs w:val="18"/>
              </w:rPr>
              <w:t>资信证明文件（本项为评分量化内容，非强制性要求）</w:t>
            </w:r>
          </w:p>
        </w:tc>
        <w:tc>
          <w:tcPr>
            <w:tcW w:w="1276"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4.1</w:t>
            </w:r>
          </w:p>
        </w:tc>
        <w:tc>
          <w:tcPr>
            <w:tcW w:w="6951" w:type="dxa"/>
            <w:vAlign w:val="center"/>
          </w:tcPr>
          <w:p>
            <w:pPr>
              <w:rPr>
                <w:rFonts w:ascii="宋体" w:hAnsi="宋体" w:eastAsia="宋体" w:cs="宋体"/>
                <w:sz w:val="18"/>
                <w:szCs w:val="18"/>
              </w:rPr>
            </w:pPr>
            <w:r>
              <w:rPr>
                <w:rFonts w:hint="eastAsia" w:ascii="宋体" w:hAnsi="宋体" w:eastAsia="宋体" w:cs="宋体"/>
                <w:sz w:val="18"/>
                <w:szCs w:val="18"/>
              </w:rPr>
              <w:t>投标供应商具有的相关资质、资信、荣誉证书等（如有，复印件盖公章）</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格式自拟</w:t>
            </w:r>
          </w:p>
        </w:tc>
      </w:tr>
    </w:tbl>
    <w:p>
      <w:pPr>
        <w:ind w:left="708" w:hanging="708" w:hangingChars="294"/>
        <w:rPr>
          <w:rFonts w:ascii="宋体" w:hAnsi="宋体" w:eastAsia="宋体" w:cs="宋体"/>
          <w:b/>
          <w:bCs/>
          <w:sz w:val="24"/>
          <w:szCs w:val="24"/>
        </w:rPr>
      </w:pPr>
    </w:p>
    <w:p>
      <w:pPr>
        <w:pStyle w:val="21"/>
        <w:ind w:left="0" w:firstLine="0" w:firstLineChars="0"/>
        <w:rPr>
          <w:rFonts w:ascii="宋体" w:hAnsi="宋体" w:eastAsia="宋体" w:cs="宋体"/>
          <w:sz w:val="22"/>
        </w:rPr>
      </w:pPr>
    </w:p>
    <w:p>
      <w:pPr>
        <w:pStyle w:val="21"/>
        <w:ind w:left="0" w:firstLine="0" w:firstLineChars="0"/>
        <w:rPr>
          <w:rFonts w:ascii="宋体" w:hAnsi="宋体" w:eastAsia="宋体" w:cs="宋体"/>
          <w:sz w:val="22"/>
        </w:rPr>
      </w:pPr>
      <w:r>
        <w:rPr>
          <w:rFonts w:hint="eastAsia" w:ascii="宋体" w:hAnsi="宋体" w:eastAsia="宋体" w:cs="宋体"/>
          <w:sz w:val="22"/>
        </w:rPr>
        <w:t>附件五  免费维护期满后售后服务报价</w:t>
      </w:r>
    </w:p>
    <w:p>
      <w:pPr>
        <w:pStyle w:val="2"/>
        <w:ind w:firstLine="0" w:firstLineChars="0"/>
        <w:rPr>
          <w:rFonts w:ascii="宋体" w:hAnsi="宋体" w:eastAsia="宋体" w:cs="宋体"/>
          <w:b/>
          <w:bCs/>
          <w:sz w:val="28"/>
          <w:szCs w:val="28"/>
        </w:rPr>
      </w:pPr>
    </w:p>
    <w:p>
      <w:pPr>
        <w:pStyle w:val="4"/>
        <w:ind w:left="0"/>
        <w:jc w:val="center"/>
        <w:rPr>
          <w:rFonts w:ascii="宋体" w:hAnsi="宋体" w:eastAsia="宋体" w:cs="宋体"/>
          <w:b/>
          <w:bCs/>
          <w:sz w:val="24"/>
          <w:szCs w:val="24"/>
        </w:rPr>
      </w:pPr>
      <w:r>
        <w:rPr>
          <w:rFonts w:hint="eastAsia" w:ascii="宋体" w:hAnsi="宋体" w:eastAsia="宋体" w:cs="宋体"/>
          <w:b/>
          <w:bCs/>
          <w:sz w:val="24"/>
          <w:szCs w:val="24"/>
        </w:rPr>
        <w:t>免费维护期满后售后服务报价</w:t>
      </w:r>
    </w:p>
    <w:p>
      <w:pPr>
        <w:rPr>
          <w:rFonts w:ascii="宋体" w:hAnsi="宋体" w:eastAsia="宋体" w:cs="宋体"/>
        </w:rPr>
      </w:pPr>
    </w:p>
    <w:tbl>
      <w:tblPr>
        <w:tblStyle w:val="22"/>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75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33" w:type="dxa"/>
            <w:tcBorders>
              <w:top w:val="dotted" w:color="auto" w:sz="4" w:space="0"/>
              <w:left w:val="dotted" w:color="auto" w:sz="4" w:space="0"/>
              <w:bottom w:val="dotted" w:color="auto" w:sz="4" w:space="0"/>
              <w:right w:val="dotted" w:color="auto" w:sz="4" w:space="0"/>
            </w:tcBorders>
            <w:shd w:val="clear" w:color="auto"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一</w:t>
            </w:r>
          </w:p>
        </w:tc>
        <w:tc>
          <w:tcPr>
            <w:tcW w:w="5754"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免费维护期满后售后服务报价</w:t>
            </w:r>
          </w:p>
        </w:tc>
        <w:tc>
          <w:tcPr>
            <w:tcW w:w="2674" w:type="dxa"/>
            <w:tcBorders>
              <w:top w:val="dotted" w:color="auto" w:sz="4" w:space="0"/>
              <w:left w:val="dotted" w:color="auto" w:sz="4" w:space="0"/>
              <w:bottom w:val="dotted" w:color="auto" w:sz="4" w:space="0"/>
              <w:right w:val="dotted" w:color="auto" w:sz="4" w:space="0"/>
            </w:tcBorders>
            <w:shd w:val="clear" w:color="auto" w:fill="FFFFFF"/>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33" w:type="dxa"/>
            <w:tcBorders>
              <w:top w:val="dotted" w:color="auto" w:sz="4" w:space="0"/>
              <w:left w:val="dotted" w:color="auto" w:sz="4" w:space="0"/>
              <w:bottom w:val="dotted" w:color="auto" w:sz="4" w:space="0"/>
              <w:right w:val="dotted" w:color="auto" w:sz="4" w:space="0"/>
            </w:tcBorders>
            <w:shd w:val="clear" w:color="auto"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754"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系统软件维护</w:t>
            </w:r>
          </w:p>
        </w:tc>
        <w:tc>
          <w:tcPr>
            <w:tcW w:w="2674" w:type="dxa"/>
            <w:tcBorders>
              <w:top w:val="dotted" w:color="auto" w:sz="4" w:space="0"/>
              <w:left w:val="dotted" w:color="auto" w:sz="4" w:space="0"/>
              <w:bottom w:val="dotted" w:color="auto" w:sz="4" w:space="0"/>
              <w:right w:val="dotted" w:color="auto" w:sz="4" w:space="0"/>
            </w:tcBorders>
            <w:shd w:val="clear" w:color="auto" w:fill="FFFFFF"/>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33" w:type="dxa"/>
            <w:tcBorders>
              <w:top w:val="dotted" w:color="auto" w:sz="4" w:space="0"/>
              <w:left w:val="dotted" w:color="auto" w:sz="4" w:space="0"/>
              <w:bottom w:val="dotted" w:color="auto" w:sz="4" w:space="0"/>
              <w:right w:val="dotted" w:color="auto" w:sz="4" w:space="0"/>
            </w:tcBorders>
            <w:shd w:val="clear" w:color="auto" w:fill="FFFFF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5754" w:type="dxa"/>
            <w:tcBorders>
              <w:top w:val="dotted" w:color="auto" w:sz="4" w:space="0"/>
              <w:left w:val="dotted" w:color="auto" w:sz="4" w:space="0"/>
              <w:bottom w:val="dotted" w:color="auto" w:sz="4" w:space="0"/>
              <w:right w:val="dotted" w:color="auto" w:sz="4" w:space="0"/>
            </w:tcBorders>
            <w:shd w:val="clear" w:color="auto" w:fill="FFFFFF"/>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免费服务期限</w:t>
            </w:r>
          </w:p>
        </w:tc>
        <w:tc>
          <w:tcPr>
            <w:tcW w:w="2674" w:type="dxa"/>
            <w:tcBorders>
              <w:top w:val="dotted" w:color="auto" w:sz="4" w:space="0"/>
              <w:left w:val="dotted" w:color="auto" w:sz="4" w:space="0"/>
              <w:bottom w:val="dotted" w:color="auto" w:sz="4" w:space="0"/>
              <w:right w:val="dotted" w:color="auto" w:sz="4" w:space="0"/>
            </w:tcBorders>
            <w:shd w:val="clear" w:color="auto" w:fill="FFFFFF"/>
            <w:vAlign w:val="center"/>
          </w:tcPr>
          <w:p>
            <w:pPr>
              <w:jc w:val="right"/>
              <w:rPr>
                <w:rFonts w:ascii="宋体" w:hAnsi="宋体" w:eastAsia="宋体" w:cs="宋体"/>
                <w:color w:val="000000"/>
                <w:sz w:val="18"/>
                <w:szCs w:val="18"/>
                <w:u w:val="single"/>
              </w:rPr>
            </w:pPr>
            <w:r>
              <w:rPr>
                <w:rFonts w:hint="eastAsia" w:ascii="宋体" w:hAnsi="宋体" w:eastAsia="宋体" w:cs="宋体"/>
                <w:color w:val="000000"/>
                <w:sz w:val="18"/>
                <w:szCs w:val="18"/>
                <w:u w:val="single"/>
              </w:rPr>
              <w:t xml:space="preserve">                 </w:t>
            </w:r>
            <w:r>
              <w:rPr>
                <w:rFonts w:hint="eastAsia" w:ascii="宋体" w:hAnsi="宋体" w:eastAsia="宋体" w:cs="宋体"/>
                <w:color w:val="00000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61" w:type="dxa"/>
            <w:gridSpan w:val="3"/>
            <w:tcBorders>
              <w:top w:val="dotted" w:color="auto" w:sz="4" w:space="0"/>
              <w:left w:val="dotted" w:color="auto" w:sz="4" w:space="0"/>
              <w:bottom w:val="dotted" w:color="auto" w:sz="4" w:space="0"/>
              <w:right w:val="dotted" w:color="auto" w:sz="4" w:space="0"/>
            </w:tcBorders>
            <w:shd w:val="clear" w:color="auto" w:fill="FFFFFF"/>
            <w:vAlign w:val="center"/>
          </w:tcPr>
          <w:p>
            <w:pPr>
              <w:ind w:firstLine="420" w:firstLineChars="200"/>
              <w:rPr>
                <w:rFonts w:ascii="宋体" w:hAnsi="宋体" w:eastAsia="宋体" w:cs="宋体"/>
                <w:color w:val="000000"/>
              </w:rPr>
            </w:pPr>
            <w:r>
              <w:rPr>
                <w:rFonts w:hint="eastAsia" w:ascii="宋体" w:hAnsi="宋体" w:eastAsia="宋体" w:cs="宋体"/>
                <w:color w:val="000000"/>
              </w:rPr>
              <w:t>维护服务内容包括：系统升级、故障排除、性能调优、数据移植、技术咨询以及甲方因发展需要开展信息化建设如需调用本合同范围内系统接口、数据、协议、服务等，乙方须无条件免费提供并配合其他单位实施，乙方负责系统的开发、集成，处理、协调与各系统软件、硬件等供应商的关系。</w:t>
            </w:r>
          </w:p>
          <w:p>
            <w:pPr>
              <w:ind w:firstLine="440" w:firstLineChars="200"/>
              <w:rPr>
                <w:rFonts w:ascii="宋体" w:hAnsi="宋体" w:eastAsia="宋体" w:cs="宋体"/>
                <w:color w:val="000000"/>
              </w:rPr>
            </w:pPr>
            <w:r>
              <w:rPr>
                <w:rFonts w:hint="eastAsia" w:ascii="宋体" w:hAnsi="宋体" w:eastAsia="宋体" w:cs="宋体"/>
                <w:sz w:val="22"/>
              </w:rPr>
              <w:t>免费维护期</w:t>
            </w:r>
            <w:r>
              <w:rPr>
                <w:rFonts w:hint="eastAsia" w:ascii="宋体" w:hAnsi="宋体" w:eastAsia="宋体" w:cs="宋体"/>
                <w:color w:val="000000"/>
              </w:rPr>
              <w:t>满后售后服务报价及分项报价为单列价格，不包含在投标总价中，但在技术资信评标细则中横向比较后予以评分，以报价低者为优。</w:t>
            </w:r>
          </w:p>
          <w:p>
            <w:pPr>
              <w:ind w:firstLine="422" w:firstLineChars="200"/>
              <w:rPr>
                <w:rFonts w:ascii="宋体" w:hAnsi="宋体" w:eastAsia="宋体" w:cs="宋体"/>
                <w:color w:val="000000"/>
              </w:rPr>
            </w:pPr>
            <w:r>
              <w:rPr>
                <w:rFonts w:hint="eastAsia" w:ascii="宋体" w:hAnsi="宋体" w:eastAsia="宋体" w:cs="宋体"/>
                <w:b/>
                <w:bCs/>
                <w:color w:val="000000"/>
                <w:u w:val="single"/>
              </w:rPr>
              <w:t>▲免费维护期满后本项目系统软件部分维护年费不得超过软件部分中标价的10%（相关云业务续费费用除外）。</w:t>
            </w:r>
          </w:p>
        </w:tc>
      </w:tr>
    </w:tbl>
    <w:p>
      <w:pPr>
        <w:spacing w:line="380" w:lineRule="exact"/>
        <w:ind w:left="-357" w:leftChars="-170" w:firstLine="354" w:firstLineChars="147"/>
        <w:rPr>
          <w:rFonts w:ascii="宋体" w:hAnsi="宋体" w:eastAsia="宋体" w:cs="宋体"/>
          <w:b/>
          <w:sz w:val="24"/>
        </w:rPr>
      </w:pPr>
      <w:r>
        <w:rPr>
          <w:rFonts w:hint="eastAsia" w:ascii="宋体" w:hAnsi="宋体" w:eastAsia="宋体" w:cs="宋体"/>
          <w:b/>
          <w:sz w:val="24"/>
        </w:rPr>
        <w:br w:type="page"/>
      </w:r>
      <w:bookmarkStart w:id="374" w:name="_Toc480556784"/>
    </w:p>
    <w:p>
      <w:pPr>
        <w:pStyle w:val="2"/>
        <w:ind w:firstLine="210"/>
      </w:pPr>
    </w:p>
    <w:bookmarkEnd w:id="374"/>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根据采购文件中的采购内容及要求以及技术资信评分项目，需要提供的文件和资料</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（格式自拟）</w:t>
      </w:r>
    </w:p>
    <w:p>
      <w:pPr>
        <w:spacing w:line="360" w:lineRule="auto"/>
        <w:jc w:val="left"/>
        <w:rPr>
          <w:rFonts w:ascii="宋体" w:hAnsi="宋体" w:eastAsia="宋体" w:cs="宋体"/>
          <w:sz w:val="22"/>
        </w:rPr>
      </w:pPr>
      <w:r>
        <w:rPr>
          <w:rFonts w:hint="eastAsia" w:ascii="宋体" w:hAnsi="宋体" w:eastAsia="宋体" w:cs="宋体"/>
          <w:b/>
          <w:bCs/>
          <w:sz w:val="32"/>
          <w:szCs w:val="32"/>
        </w:rPr>
        <w:br w:type="page"/>
      </w:r>
      <w:r>
        <w:rPr>
          <w:rFonts w:hint="eastAsia" w:ascii="宋体" w:hAnsi="宋体" w:eastAsia="宋体" w:cs="宋体"/>
          <w:sz w:val="22"/>
        </w:rPr>
        <w:t>（商务（报价）标封面，供参考）</w:t>
      </w:r>
    </w:p>
    <w:p>
      <w:pPr>
        <w:rPr>
          <w:rFonts w:ascii="宋体" w:hAnsi="宋体" w:eastAsia="宋体" w:cs="宋体"/>
          <w:szCs w:val="24"/>
        </w:rPr>
      </w:pPr>
    </w:p>
    <w:p>
      <w:pPr>
        <w:rPr>
          <w:rFonts w:ascii="宋体" w:hAnsi="宋体" w:eastAsia="宋体" w:cs="宋体"/>
          <w:szCs w:val="24"/>
        </w:rPr>
      </w:pPr>
    </w:p>
    <w:p>
      <w:pPr>
        <w:ind w:left="562" w:hanging="562" w:hangingChars="200"/>
        <w:jc w:val="right"/>
        <w:rPr>
          <w:rFonts w:ascii="宋体" w:hAnsi="宋体" w:eastAsia="宋体" w:cs="宋体"/>
          <w:b/>
          <w:bCs/>
          <w:sz w:val="28"/>
          <w:szCs w:val="28"/>
        </w:rPr>
      </w:pPr>
      <w:r>
        <w:rPr>
          <w:rFonts w:hint="eastAsia" w:ascii="宋体" w:hAnsi="宋体" w:eastAsia="宋体" w:cs="宋体"/>
          <w:b/>
          <w:bCs/>
          <w:sz w:val="28"/>
          <w:szCs w:val="28"/>
        </w:rPr>
        <w:t>正/副本</w:t>
      </w:r>
    </w:p>
    <w:p>
      <w:pPr>
        <w:ind w:left="562" w:hanging="562" w:hangingChars="200"/>
        <w:jc w:val="right"/>
        <w:rPr>
          <w:rFonts w:ascii="宋体" w:hAnsi="宋体" w:eastAsia="宋体" w:cs="宋体"/>
          <w:b/>
          <w:bCs/>
          <w:sz w:val="28"/>
          <w:szCs w:val="28"/>
        </w:rPr>
      </w:pPr>
    </w:p>
    <w:p>
      <w:pPr>
        <w:rPr>
          <w:rFonts w:ascii="宋体" w:hAnsi="宋体" w:eastAsia="宋体" w:cs="宋体"/>
          <w:szCs w:val="24"/>
        </w:rPr>
      </w:pPr>
    </w:p>
    <w:p>
      <w:pPr>
        <w:ind w:left="480" w:hanging="480" w:hangingChars="200"/>
        <w:rPr>
          <w:rFonts w:ascii="宋体" w:hAnsi="宋体" w:eastAsia="宋体" w:cs="宋体"/>
          <w:sz w:val="24"/>
          <w:szCs w:val="24"/>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pPr>
        <w:rPr>
          <w:rFonts w:ascii="宋体" w:hAnsi="宋体" w:eastAsia="宋体" w:cs="宋体"/>
          <w:sz w:val="28"/>
          <w:szCs w:val="28"/>
        </w:rPr>
      </w:pPr>
    </w:p>
    <w:p>
      <w:pPr>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480" w:lineRule="auto"/>
        <w:jc w:val="center"/>
        <w:rPr>
          <w:rFonts w:ascii="宋体" w:hAnsi="宋体" w:eastAsia="宋体" w:cs="宋体"/>
          <w:sz w:val="52"/>
          <w:szCs w:val="52"/>
        </w:rPr>
      </w:pPr>
      <w:r>
        <w:rPr>
          <w:rFonts w:hint="eastAsia" w:ascii="宋体" w:hAnsi="宋体" w:eastAsia="宋体" w:cs="宋体"/>
          <w:sz w:val="52"/>
          <w:szCs w:val="52"/>
        </w:rPr>
        <w:t>商 务（报 价） 标</w:t>
      </w:r>
    </w:p>
    <w:p>
      <w:pPr>
        <w:spacing w:line="480" w:lineRule="auto"/>
        <w:jc w:val="center"/>
        <w:rPr>
          <w:rFonts w:ascii="宋体" w:hAnsi="宋体" w:eastAsia="宋体" w:cs="宋体"/>
          <w:szCs w:val="21"/>
        </w:rPr>
      </w:pPr>
      <w:r>
        <w:rPr>
          <w:rFonts w:hint="eastAsia" w:ascii="宋体" w:hAnsi="宋体" w:eastAsia="宋体" w:cs="宋体"/>
          <w:sz w:val="44"/>
          <w:szCs w:val="44"/>
        </w:rPr>
        <w:t>（开标时启封）</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jc w:val="center"/>
        <w:rPr>
          <w:rFonts w:ascii="宋体" w:hAnsi="宋体" w:eastAsia="宋体" w:cs="宋体"/>
          <w:sz w:val="28"/>
          <w:szCs w:val="28"/>
        </w:rPr>
      </w:pPr>
      <w:r>
        <w:rPr>
          <w:rFonts w:hint="eastAsia" w:ascii="宋体" w:hAnsi="宋体" w:eastAsia="宋体" w:cs="宋体"/>
          <w:sz w:val="28"/>
          <w:szCs w:val="28"/>
        </w:rPr>
        <w:t>投标供应商：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rPr>
          <w:rFonts w:ascii="宋体" w:hAnsi="宋体" w:eastAsia="宋体" w:cs="宋体"/>
          <w:sz w:val="28"/>
          <w:szCs w:val="28"/>
          <w:u w:val="single"/>
        </w:rPr>
      </w:pPr>
    </w:p>
    <w:p>
      <w:pPr>
        <w:jc w:val="center"/>
        <w:rPr>
          <w:rFonts w:ascii="宋体" w:hAnsi="宋体" w:eastAsia="宋体" w:cs="宋体"/>
          <w:sz w:val="28"/>
          <w:szCs w:val="28"/>
        </w:rPr>
      </w:pPr>
      <w:r>
        <w:rPr>
          <w:rFonts w:hint="eastAsia" w:ascii="宋体" w:hAnsi="宋体" w:eastAsia="宋体" w:cs="宋体"/>
          <w:sz w:val="28"/>
          <w:szCs w:val="28"/>
        </w:rPr>
        <w:t>法定代表人（法定负责人）或其委托代理人：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ascii="宋体" w:hAnsi="宋体" w:eastAsia="宋体" w:cs="宋体"/>
          <w:sz w:val="28"/>
          <w:szCs w:val="28"/>
        </w:rPr>
      </w:pPr>
    </w:p>
    <w:p>
      <w:pPr>
        <w:overflowPunct w:val="0"/>
        <w:spacing w:line="380" w:lineRule="exact"/>
        <w:ind w:firstLine="2738" w:firstLineChars="978"/>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 xml:space="preserve">附件六 </w:t>
      </w:r>
    </w:p>
    <w:p>
      <w:pPr>
        <w:spacing w:line="460" w:lineRule="exact"/>
        <w:jc w:val="center"/>
        <w:rPr>
          <w:rFonts w:ascii="宋体" w:hAnsi="宋体" w:eastAsia="宋体" w:cs="宋体"/>
          <w:b/>
          <w:bCs/>
          <w:sz w:val="28"/>
          <w:szCs w:val="28"/>
        </w:rPr>
      </w:pPr>
      <w:r>
        <w:rPr>
          <w:rFonts w:hint="eastAsia" w:ascii="宋体" w:hAnsi="宋体" w:eastAsia="宋体" w:cs="宋体"/>
          <w:b/>
          <w:bCs/>
          <w:sz w:val="28"/>
          <w:szCs w:val="28"/>
        </w:rPr>
        <w:t>开标一览表</w:t>
      </w:r>
    </w:p>
    <w:p>
      <w:pPr>
        <w:spacing w:line="380" w:lineRule="exact"/>
        <w:jc w:val="center"/>
        <w:rPr>
          <w:rFonts w:ascii="宋体" w:hAnsi="宋体" w:eastAsia="宋体" w:cs="宋体"/>
          <w:bCs/>
          <w:sz w:val="28"/>
          <w:szCs w:val="24"/>
        </w:rPr>
      </w:pPr>
    </w:p>
    <w:p>
      <w:pPr>
        <w:tabs>
          <w:tab w:val="left" w:pos="7890"/>
        </w:tabs>
        <w:spacing w:line="380" w:lineRule="exact"/>
        <w:ind w:right="349" w:rightChars="166" w:firstLine="330" w:firstLineChars="150"/>
        <w:rPr>
          <w:rFonts w:ascii="宋体" w:hAnsi="宋体" w:eastAsia="宋体" w:cs="宋体"/>
          <w:sz w:val="22"/>
          <w:szCs w:val="24"/>
        </w:rPr>
      </w:pPr>
      <w:r>
        <w:rPr>
          <w:rFonts w:hint="eastAsia" w:ascii="宋体" w:hAnsi="宋体" w:eastAsia="宋体" w:cs="宋体"/>
          <w:sz w:val="22"/>
          <w:szCs w:val="24"/>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458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项目名称</w:t>
            </w:r>
          </w:p>
        </w:tc>
        <w:tc>
          <w:tcPr>
            <w:tcW w:w="45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投标总报价（元）</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数字化平台项目</w:t>
            </w:r>
          </w:p>
        </w:tc>
        <w:tc>
          <w:tcPr>
            <w:tcW w:w="45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大写：</w:t>
            </w:r>
          </w:p>
          <w:p>
            <w:pPr>
              <w:spacing w:line="360" w:lineRule="auto"/>
              <w:rPr>
                <w:rFonts w:ascii="宋体" w:hAnsi="宋体" w:eastAsia="宋体" w:cs="宋体"/>
                <w:sz w:val="22"/>
              </w:rPr>
            </w:pPr>
            <w:r>
              <w:rPr>
                <w:rFonts w:hint="eastAsia" w:ascii="宋体" w:hAnsi="宋体" w:eastAsia="宋体" w:cs="宋体"/>
                <w:sz w:val="22"/>
              </w:rPr>
              <w:t>小写：</w:t>
            </w:r>
          </w:p>
        </w:tc>
        <w:tc>
          <w:tcPr>
            <w:tcW w:w="1739" w:type="dxa"/>
            <w:tcBorders>
              <w:top w:val="single" w:color="auto" w:sz="4" w:space="0"/>
              <w:left w:val="single" w:color="auto" w:sz="4" w:space="0"/>
              <w:right w:val="single" w:color="auto" w:sz="4" w:space="0"/>
            </w:tcBorders>
            <w:vAlign w:val="center"/>
          </w:tcPr>
          <w:p>
            <w:pPr>
              <w:jc w:val="center"/>
              <w:rPr>
                <w:rFonts w:ascii="宋体" w:hAnsi="宋体" w:eastAsia="宋体" w:cs="宋体"/>
                <w:sz w:val="22"/>
              </w:rPr>
            </w:pPr>
          </w:p>
        </w:tc>
      </w:tr>
    </w:tbl>
    <w:p>
      <w:pPr>
        <w:ind w:left="524" w:hanging="523" w:hangingChars="238"/>
        <w:rPr>
          <w:rFonts w:ascii="宋体" w:hAnsi="宋体" w:eastAsia="宋体" w:cs="宋体"/>
          <w:sz w:val="22"/>
          <w:szCs w:val="24"/>
        </w:rPr>
      </w:pPr>
      <w:r>
        <w:rPr>
          <w:rFonts w:hint="eastAsia" w:ascii="宋体" w:hAnsi="宋体" w:eastAsia="宋体" w:cs="宋体"/>
          <w:sz w:val="22"/>
          <w:szCs w:val="24"/>
        </w:rPr>
        <w:t>说明：</w:t>
      </w:r>
    </w:p>
    <w:p>
      <w:pPr>
        <w:ind w:left="524" w:hanging="523" w:hangingChars="238"/>
        <w:rPr>
          <w:rFonts w:ascii="宋体" w:hAnsi="宋体" w:eastAsia="宋体" w:cs="宋体"/>
          <w:sz w:val="22"/>
          <w:szCs w:val="24"/>
        </w:rPr>
      </w:pPr>
      <w:r>
        <w:rPr>
          <w:rFonts w:hint="eastAsia" w:ascii="宋体" w:hAnsi="宋体" w:eastAsia="宋体" w:cs="宋体"/>
          <w:sz w:val="22"/>
          <w:szCs w:val="24"/>
        </w:rPr>
        <w:t>1、投标报价包含的内容详见投标人须知第12条规定。</w:t>
      </w:r>
    </w:p>
    <w:p>
      <w:pPr>
        <w:ind w:left="524" w:hanging="523" w:hangingChars="238"/>
        <w:rPr>
          <w:rFonts w:ascii="宋体" w:hAnsi="宋体" w:eastAsia="宋体" w:cs="宋体"/>
          <w:sz w:val="22"/>
          <w:szCs w:val="24"/>
        </w:rPr>
      </w:pPr>
      <w:r>
        <w:rPr>
          <w:rFonts w:hint="eastAsia" w:ascii="宋体" w:hAnsi="宋体" w:eastAsia="宋体" w:cs="宋体"/>
          <w:sz w:val="22"/>
          <w:szCs w:val="24"/>
        </w:rPr>
        <w:t>2、此栏内投标总报价应与附件七“投标分项报价表”中总计价相一致。</w:t>
      </w:r>
    </w:p>
    <w:p>
      <w:pPr>
        <w:ind w:left="524" w:hanging="523" w:hangingChars="238"/>
        <w:rPr>
          <w:rFonts w:ascii="宋体" w:hAnsi="宋体" w:eastAsia="宋体" w:cs="宋体"/>
          <w:sz w:val="22"/>
          <w:szCs w:val="24"/>
        </w:rPr>
      </w:pPr>
      <w:r>
        <w:rPr>
          <w:rFonts w:hint="eastAsia" w:ascii="宋体" w:hAnsi="宋体" w:eastAsia="宋体" w:cs="宋体"/>
          <w:sz w:val="22"/>
          <w:szCs w:val="24"/>
          <w:u w:val="single"/>
        </w:rPr>
        <w:t>3、▲不提供此表格将被视为没有满足采购文件的实质性要求</w:t>
      </w:r>
      <w:r>
        <w:rPr>
          <w:rFonts w:hint="eastAsia" w:ascii="宋体" w:hAnsi="宋体" w:eastAsia="宋体" w:cs="宋体"/>
          <w:sz w:val="22"/>
          <w:szCs w:val="24"/>
        </w:rPr>
        <w:t>。</w:t>
      </w:r>
    </w:p>
    <w:p>
      <w:pPr>
        <w:spacing w:after="120"/>
        <w:jc w:val="left"/>
        <w:textAlignment w:val="baseline"/>
        <w:rPr>
          <w:rFonts w:ascii="宋体" w:hAnsi="宋体" w:eastAsia="宋体" w:cs="宋体"/>
          <w:szCs w:val="24"/>
        </w:rPr>
      </w:pPr>
      <w:r>
        <w:rPr>
          <w:rFonts w:hint="eastAsia" w:ascii="宋体" w:hAnsi="宋体" w:eastAsia="宋体" w:cs="宋体"/>
          <w:sz w:val="22"/>
          <w:szCs w:val="24"/>
          <w:u w:val="single"/>
        </w:rPr>
        <w:t>4、▲以上报价不得出现在技术标中</w:t>
      </w:r>
      <w:r>
        <w:rPr>
          <w:rFonts w:hint="eastAsia" w:ascii="宋体" w:hAnsi="宋体" w:eastAsia="宋体" w:cs="宋体"/>
          <w:sz w:val="22"/>
          <w:szCs w:val="24"/>
        </w:rPr>
        <w:t>。</w:t>
      </w:r>
    </w:p>
    <w:p>
      <w:pPr>
        <w:spacing w:line="380" w:lineRule="exact"/>
        <w:rPr>
          <w:rFonts w:ascii="宋体" w:hAnsi="宋体" w:eastAsia="宋体" w:cs="宋体"/>
          <w:b/>
          <w:bCs/>
          <w:sz w:val="22"/>
          <w:u w:val="single"/>
        </w:rPr>
      </w:pPr>
    </w:p>
    <w:p>
      <w:pPr>
        <w:spacing w:line="380" w:lineRule="exact"/>
        <w:rPr>
          <w:rFonts w:ascii="宋体" w:hAnsi="宋体" w:eastAsia="宋体" w:cs="宋体"/>
          <w:sz w:val="22"/>
          <w:szCs w:val="24"/>
        </w:rPr>
      </w:pPr>
    </w:p>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rPr>
        <w:t>法定代表人（法定负责人）或授权代表（签字或盖章）：</w:t>
      </w:r>
    </w:p>
    <w:p>
      <w:pPr>
        <w:rPr>
          <w:rFonts w:ascii="宋体" w:hAnsi="宋体" w:eastAsia="宋体" w:cs="宋体"/>
          <w:sz w:val="22"/>
        </w:rPr>
      </w:pPr>
      <w:r>
        <w:rPr>
          <w:rFonts w:hint="eastAsia" w:ascii="宋体" w:hAnsi="宋体" w:eastAsia="宋体" w:cs="宋体"/>
          <w:sz w:val="22"/>
        </w:rPr>
        <w:t>日  期：</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附件七</w:t>
      </w:r>
    </w:p>
    <w:p>
      <w:pPr>
        <w:spacing w:line="460" w:lineRule="exact"/>
        <w:jc w:val="center"/>
        <w:rPr>
          <w:rFonts w:ascii="宋体" w:hAnsi="宋体" w:eastAsia="宋体" w:cs="宋体"/>
          <w:b/>
          <w:bCs/>
          <w:sz w:val="28"/>
          <w:szCs w:val="28"/>
        </w:rPr>
      </w:pPr>
      <w:r>
        <w:rPr>
          <w:rFonts w:hint="eastAsia" w:ascii="宋体" w:hAnsi="宋体" w:eastAsia="宋体" w:cs="宋体"/>
          <w:b/>
          <w:bCs/>
          <w:sz w:val="28"/>
          <w:szCs w:val="28"/>
        </w:rPr>
        <w:t>投标分项报价表</w:t>
      </w:r>
    </w:p>
    <w:p>
      <w:pPr>
        <w:autoSpaceDE w:val="0"/>
        <w:autoSpaceDN w:val="0"/>
        <w:adjustRightInd w:val="0"/>
        <w:spacing w:after="120"/>
        <w:jc w:val="center"/>
        <w:rPr>
          <w:rFonts w:ascii="宋体" w:hAnsi="宋体" w:eastAsia="宋体" w:cs="宋体"/>
          <w:szCs w:val="24"/>
          <w:highlight w:val="yellow"/>
        </w:rPr>
      </w:pPr>
    </w:p>
    <w:p>
      <w:pPr>
        <w:spacing w:line="380" w:lineRule="exact"/>
        <w:ind w:firstLine="331" w:firstLineChars="150"/>
        <w:rPr>
          <w:rFonts w:ascii="宋体" w:hAnsi="宋体" w:eastAsia="宋体" w:cs="宋体"/>
          <w:b/>
          <w:bCs/>
          <w:sz w:val="22"/>
        </w:rPr>
      </w:pPr>
      <w:bookmarkStart w:id="375" w:name="_Toc448846626"/>
      <w:bookmarkStart w:id="376" w:name="_Toc262049425"/>
      <w:bookmarkStart w:id="377" w:name="_Toc262105510"/>
      <w:bookmarkStart w:id="378" w:name="_Toc249758721"/>
      <w:bookmarkStart w:id="379" w:name="_Toc249758871"/>
      <w:r>
        <w:rPr>
          <w:rFonts w:hint="eastAsia" w:ascii="宋体" w:hAnsi="宋体" w:eastAsia="宋体" w:cs="宋体"/>
          <w:b/>
          <w:bCs/>
          <w:sz w:val="22"/>
        </w:rPr>
        <w:t xml:space="preserve">项目名称： </w:t>
      </w:r>
      <w:r>
        <w:rPr>
          <w:rFonts w:hint="eastAsia" w:ascii="宋体" w:hAnsi="宋体" w:eastAsia="宋体" w:cs="宋体"/>
          <w:sz w:val="22"/>
        </w:rPr>
        <w:t xml:space="preserve">                              </w:t>
      </w:r>
      <w:r>
        <w:rPr>
          <w:rFonts w:hint="eastAsia" w:ascii="宋体" w:hAnsi="宋体" w:eastAsia="宋体" w:cs="宋体"/>
          <w:b/>
          <w:bCs/>
          <w:sz w:val="22"/>
        </w:rPr>
        <w:t xml:space="preserve"> 项目编号：</w:t>
      </w:r>
    </w:p>
    <w:tbl>
      <w:tblPr>
        <w:tblStyle w:val="22"/>
        <w:tblW w:w="90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331"/>
        <w:gridCol w:w="3288"/>
        <w:gridCol w:w="709"/>
        <w:gridCol w:w="708"/>
        <w:gridCol w:w="709"/>
        <w:gridCol w:w="776"/>
        <w:gridCol w:w="7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12"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序号</w:t>
            </w:r>
          </w:p>
        </w:tc>
        <w:tc>
          <w:tcPr>
            <w:tcW w:w="1331" w:type="dxa"/>
            <w:tcBorders>
              <w:top w:val="single" w:color="auto" w:sz="12" w:space="0"/>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名称</w:t>
            </w:r>
          </w:p>
        </w:tc>
        <w:tc>
          <w:tcPr>
            <w:tcW w:w="3288" w:type="dxa"/>
            <w:tcBorders>
              <w:top w:val="single" w:color="auto" w:sz="12"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说明</w:t>
            </w:r>
          </w:p>
        </w:tc>
        <w:tc>
          <w:tcPr>
            <w:tcW w:w="709" w:type="dxa"/>
            <w:tcBorders>
              <w:top w:val="single" w:color="auto" w:sz="12"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单位</w:t>
            </w:r>
          </w:p>
        </w:tc>
        <w:tc>
          <w:tcPr>
            <w:tcW w:w="708" w:type="dxa"/>
            <w:tcBorders>
              <w:top w:val="single" w:color="auto" w:sz="12" w:space="0"/>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数量</w:t>
            </w:r>
          </w:p>
        </w:tc>
        <w:tc>
          <w:tcPr>
            <w:tcW w:w="709" w:type="dxa"/>
            <w:tcBorders>
              <w:top w:val="single" w:color="auto" w:sz="12" w:space="0"/>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单价</w:t>
            </w:r>
          </w:p>
        </w:tc>
        <w:tc>
          <w:tcPr>
            <w:tcW w:w="776" w:type="dxa"/>
            <w:tcBorders>
              <w:top w:val="single" w:color="auto" w:sz="12" w:space="0"/>
              <w:left w:val="single" w:color="auto" w:sz="8" w:space="0"/>
              <w:bottom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总价</w:t>
            </w:r>
          </w:p>
        </w:tc>
        <w:tc>
          <w:tcPr>
            <w:tcW w:w="776" w:type="dxa"/>
            <w:tcBorders>
              <w:top w:val="single" w:color="auto" w:sz="12" w:space="0"/>
              <w:left w:val="single" w:color="auto" w:sz="8" w:space="0"/>
              <w:bottom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67" w:type="dxa"/>
            <w:gridSpan w:val="7"/>
            <w:tcBorders>
              <w:top w:val="single" w:color="auto" w:sz="12" w:space="0"/>
              <w:bottom w:val="single" w:color="auto" w:sz="8" w:space="0"/>
            </w:tcBorders>
            <w:vAlign w:val="center"/>
          </w:tcPr>
          <w:p>
            <w:pPr>
              <w:spacing w:line="240" w:lineRule="exact"/>
              <w:jc w:val="left"/>
              <w:rPr>
                <w:rFonts w:ascii="宋体" w:hAnsi="宋体" w:eastAsia="宋体" w:cs="宋体"/>
                <w:b/>
                <w:sz w:val="18"/>
                <w:szCs w:val="18"/>
              </w:rPr>
            </w:pPr>
            <w:r>
              <w:rPr>
                <w:rFonts w:hint="eastAsia" w:ascii="宋体" w:hAnsi="宋体" w:eastAsia="宋体" w:cs="宋体"/>
                <w:b/>
                <w:bCs/>
                <w:sz w:val="18"/>
                <w:szCs w:val="18"/>
              </w:rPr>
              <w:t>一、云业务服务费</w:t>
            </w:r>
          </w:p>
        </w:tc>
        <w:tc>
          <w:tcPr>
            <w:tcW w:w="776" w:type="dxa"/>
            <w:tcBorders>
              <w:top w:val="single" w:color="auto" w:sz="12" w:space="0"/>
              <w:bottom w:val="single" w:color="auto" w:sz="8" w:space="0"/>
            </w:tcBorders>
            <w:vAlign w:val="center"/>
          </w:tcPr>
          <w:p>
            <w:pPr>
              <w:spacing w:line="240" w:lineRule="exact"/>
              <w:jc w:val="left"/>
              <w:rPr>
                <w:rFonts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restart"/>
            <w:tcBorders>
              <w:top w:val="single" w:color="auto" w:sz="8"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1331" w:type="dxa"/>
            <w:vMerge w:val="restart"/>
            <w:tcBorders>
              <w:top w:val="single" w:color="auto" w:sz="8" w:space="0"/>
              <w:left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云服务器服务费</w:t>
            </w:r>
          </w:p>
        </w:tc>
        <w:tc>
          <w:tcPr>
            <w:tcW w:w="3288" w:type="dxa"/>
            <w:tcBorders>
              <w:top w:val="single" w:color="auto" w:sz="8" w:space="0"/>
              <w:left w:val="single" w:color="auto" w:sz="8"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16核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内存：32G</w:t>
            </w:r>
          </w:p>
          <w:p>
            <w:pPr>
              <w:widowControl/>
              <w:spacing w:line="240" w:lineRule="exact"/>
              <w:rPr>
                <w:rFonts w:ascii="宋体" w:hAnsi="宋体" w:eastAsia="宋体" w:cs="宋体"/>
                <w:kern w:val="0"/>
                <w:sz w:val="18"/>
                <w:szCs w:val="18"/>
              </w:rPr>
            </w:pPr>
            <w:r>
              <w:rPr>
                <w:rFonts w:hint="eastAsia" w:ascii="宋体" w:hAnsi="宋体" w:eastAsia="宋体" w:cs="宋体"/>
                <w:sz w:val="18"/>
                <w:szCs w:val="18"/>
              </w:rPr>
              <w:t>存储空间：1100G</w:t>
            </w:r>
          </w:p>
        </w:tc>
        <w:tc>
          <w:tcPr>
            <w:tcW w:w="709"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台</w:t>
            </w:r>
          </w:p>
        </w:tc>
        <w:tc>
          <w:tcPr>
            <w:tcW w:w="708" w:type="dxa"/>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709" w:type="dxa"/>
            <w:tcBorders>
              <w:top w:val="single" w:color="auto" w:sz="8" w:space="0"/>
              <w:left w:val="single" w:color="auto" w:sz="8"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b/>
                <w:sz w:val="18"/>
                <w:szCs w:val="18"/>
              </w:rPr>
            </w:pPr>
          </w:p>
        </w:tc>
        <w:tc>
          <w:tcPr>
            <w:tcW w:w="3288" w:type="dxa"/>
            <w:tcBorders>
              <w:top w:val="single" w:color="auto" w:sz="4" w:space="0"/>
              <w:left w:val="single" w:color="auto" w:sz="8"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16核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内存：32G</w:t>
            </w:r>
          </w:p>
          <w:p>
            <w:pPr>
              <w:widowControl/>
              <w:spacing w:line="240" w:lineRule="exact"/>
              <w:rPr>
                <w:rFonts w:ascii="宋体" w:hAnsi="宋体" w:eastAsia="宋体" w:cs="宋体"/>
                <w:kern w:val="0"/>
                <w:sz w:val="18"/>
                <w:szCs w:val="18"/>
              </w:rPr>
            </w:pPr>
            <w:r>
              <w:rPr>
                <w:rFonts w:hint="eastAsia" w:ascii="宋体" w:hAnsi="宋体" w:eastAsia="宋体" w:cs="宋体"/>
                <w:sz w:val="18"/>
                <w:szCs w:val="18"/>
              </w:rPr>
              <w:t>存储空间：600G</w:t>
            </w:r>
          </w:p>
        </w:tc>
        <w:tc>
          <w:tcPr>
            <w:tcW w:w="709"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台</w:t>
            </w:r>
          </w:p>
        </w:tc>
        <w:tc>
          <w:tcPr>
            <w:tcW w:w="708"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709"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b/>
                <w:sz w:val="18"/>
                <w:szCs w:val="18"/>
              </w:rPr>
            </w:pPr>
          </w:p>
        </w:tc>
        <w:tc>
          <w:tcPr>
            <w:tcW w:w="3288" w:type="dxa"/>
            <w:tcBorders>
              <w:top w:val="single" w:color="auto" w:sz="4" w:space="0"/>
              <w:left w:val="single" w:color="auto" w:sz="8"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8核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内存：16G</w:t>
            </w:r>
          </w:p>
          <w:p>
            <w:pPr>
              <w:widowControl/>
              <w:spacing w:line="240" w:lineRule="exact"/>
              <w:rPr>
                <w:rFonts w:ascii="宋体" w:hAnsi="宋体" w:eastAsia="宋体" w:cs="宋体"/>
                <w:kern w:val="0"/>
                <w:sz w:val="18"/>
                <w:szCs w:val="18"/>
              </w:rPr>
            </w:pPr>
            <w:r>
              <w:rPr>
                <w:rFonts w:hint="eastAsia" w:ascii="宋体" w:hAnsi="宋体" w:eastAsia="宋体" w:cs="宋体"/>
                <w:sz w:val="18"/>
                <w:szCs w:val="18"/>
              </w:rPr>
              <w:t>存储空间：600G</w:t>
            </w:r>
          </w:p>
        </w:tc>
        <w:tc>
          <w:tcPr>
            <w:tcW w:w="709"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台</w:t>
            </w:r>
          </w:p>
        </w:tc>
        <w:tc>
          <w:tcPr>
            <w:tcW w:w="708"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709" w:type="dxa"/>
            <w:tcBorders>
              <w:top w:val="single" w:color="auto" w:sz="4" w:space="0"/>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tcBorders>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c>
          <w:tcPr>
            <w:tcW w:w="776" w:type="dxa"/>
            <w:tcBorders>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b/>
                <w:sz w:val="18"/>
                <w:szCs w:val="18"/>
              </w:rPr>
            </w:pPr>
          </w:p>
        </w:tc>
        <w:tc>
          <w:tcPr>
            <w:tcW w:w="3288" w:type="dxa"/>
            <w:tcBorders>
              <w:top w:val="single" w:color="auto" w:sz="4" w:space="0"/>
              <w:left w:val="single" w:color="auto" w:sz="8"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8核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内存：16G</w:t>
            </w:r>
          </w:p>
          <w:p>
            <w:pPr>
              <w:widowControl/>
              <w:spacing w:line="240" w:lineRule="exact"/>
              <w:rPr>
                <w:rFonts w:ascii="宋体" w:hAnsi="宋体" w:eastAsia="宋体" w:cs="宋体"/>
                <w:kern w:val="0"/>
                <w:sz w:val="18"/>
                <w:szCs w:val="18"/>
              </w:rPr>
            </w:pPr>
            <w:r>
              <w:rPr>
                <w:rFonts w:hint="eastAsia" w:ascii="宋体" w:hAnsi="宋体" w:eastAsia="宋体" w:cs="宋体"/>
                <w:sz w:val="18"/>
                <w:szCs w:val="18"/>
              </w:rPr>
              <w:t>存储空间：1000G</w:t>
            </w:r>
          </w:p>
        </w:tc>
        <w:tc>
          <w:tcPr>
            <w:tcW w:w="709"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台</w:t>
            </w:r>
          </w:p>
        </w:tc>
        <w:tc>
          <w:tcPr>
            <w:tcW w:w="708"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709" w:type="dxa"/>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b/>
                <w:sz w:val="18"/>
                <w:szCs w:val="18"/>
              </w:rPr>
            </w:pPr>
          </w:p>
        </w:tc>
        <w:tc>
          <w:tcPr>
            <w:tcW w:w="3288" w:type="dxa"/>
            <w:tcBorders>
              <w:top w:val="single" w:color="auto" w:sz="4" w:space="0"/>
              <w:left w:val="single" w:color="auto" w:sz="8"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8核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内存：8G</w:t>
            </w:r>
          </w:p>
          <w:p>
            <w:pPr>
              <w:widowControl/>
              <w:spacing w:line="240" w:lineRule="exact"/>
              <w:rPr>
                <w:rFonts w:ascii="宋体" w:hAnsi="宋体" w:eastAsia="宋体" w:cs="宋体"/>
                <w:kern w:val="0"/>
                <w:sz w:val="18"/>
                <w:szCs w:val="18"/>
              </w:rPr>
            </w:pPr>
            <w:r>
              <w:rPr>
                <w:rFonts w:hint="eastAsia" w:ascii="宋体" w:hAnsi="宋体" w:eastAsia="宋体" w:cs="宋体"/>
                <w:sz w:val="18"/>
                <w:szCs w:val="18"/>
              </w:rPr>
              <w:t>存储空间：500G</w:t>
            </w:r>
          </w:p>
        </w:tc>
        <w:tc>
          <w:tcPr>
            <w:tcW w:w="709"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台</w:t>
            </w:r>
          </w:p>
        </w:tc>
        <w:tc>
          <w:tcPr>
            <w:tcW w:w="708"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709" w:type="dxa"/>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bottom w:val="single" w:color="auto" w:sz="4"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1331" w:type="dxa"/>
            <w:tcBorders>
              <w:left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云安全服务服务费</w:t>
            </w:r>
          </w:p>
        </w:tc>
        <w:tc>
          <w:tcPr>
            <w:tcW w:w="3288" w:type="dxa"/>
            <w:tcBorders>
              <w:top w:val="single" w:color="auto" w:sz="4" w:space="0"/>
              <w:left w:val="single" w:color="auto" w:sz="8" w:space="0"/>
              <w:bottom w:val="single" w:color="auto" w:sz="8"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sz w:val="18"/>
                <w:szCs w:val="18"/>
              </w:rPr>
              <w:t>包含WAF、防火墙、日志审计、安全堡垒机、病毒查杀、网站后门查杀、漏洞管理、性能监控、主机防火墙、WEB应用防护、登录防护、防端口扫描等云安全功能。</w:t>
            </w:r>
          </w:p>
        </w:tc>
        <w:tc>
          <w:tcPr>
            <w:tcW w:w="709"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4" w:space="0"/>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right w:val="single" w:color="auto" w:sz="8" w:space="0"/>
            </w:tcBorders>
            <w:vAlign w:val="center"/>
          </w:tcPr>
          <w:p>
            <w:pPr>
              <w:spacing w:line="240" w:lineRule="exact"/>
              <w:jc w:val="center"/>
              <w:rPr>
                <w:rFonts w:ascii="宋体" w:hAnsi="宋体" w:eastAsia="宋体" w:cs="宋体"/>
                <w:sz w:val="18"/>
                <w:szCs w:val="18"/>
              </w:rPr>
            </w:pPr>
          </w:p>
        </w:tc>
        <w:tc>
          <w:tcPr>
            <w:tcW w:w="6745" w:type="dxa"/>
            <w:gridSpan w:val="5"/>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b/>
                <w:bCs/>
                <w:sz w:val="18"/>
                <w:szCs w:val="18"/>
              </w:rPr>
              <w:t>云业务服务费小计</w:t>
            </w:r>
          </w:p>
        </w:tc>
        <w:tc>
          <w:tcPr>
            <w:tcW w:w="776" w:type="dxa"/>
            <w:tcBorders>
              <w:top w:val="single" w:color="auto" w:sz="4" w:space="0"/>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4" w:space="0"/>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67" w:type="dxa"/>
            <w:gridSpan w:val="7"/>
            <w:tcBorders>
              <w:top w:val="single" w:color="auto" w:sz="8" w:space="0"/>
            </w:tcBorders>
            <w:vAlign w:val="center"/>
          </w:tcPr>
          <w:p>
            <w:pPr>
              <w:spacing w:line="240" w:lineRule="exact"/>
              <w:jc w:val="left"/>
              <w:rPr>
                <w:rFonts w:ascii="宋体" w:hAnsi="宋体" w:eastAsia="宋体" w:cs="宋体"/>
                <w:sz w:val="18"/>
                <w:szCs w:val="18"/>
              </w:rPr>
            </w:pPr>
            <w:r>
              <w:rPr>
                <w:rFonts w:hint="eastAsia" w:ascii="宋体" w:hAnsi="宋体" w:eastAsia="宋体" w:cs="宋体"/>
                <w:b/>
                <w:bCs/>
                <w:sz w:val="18"/>
                <w:szCs w:val="18"/>
              </w:rPr>
              <w:t>二、数据中台</w:t>
            </w:r>
          </w:p>
        </w:tc>
        <w:tc>
          <w:tcPr>
            <w:tcW w:w="776" w:type="dxa"/>
            <w:tcBorders>
              <w:top w:val="single" w:color="auto" w:sz="8" w:space="0"/>
            </w:tcBorders>
            <w:vAlign w:val="center"/>
          </w:tcPr>
          <w:p>
            <w:pPr>
              <w:spacing w:line="240" w:lineRule="exact"/>
              <w:jc w:val="left"/>
              <w:rPr>
                <w:rFonts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restart"/>
            <w:tcBorders>
              <w:top w:val="single" w:color="auto" w:sz="8" w:space="0"/>
              <w:right w:val="single" w:color="auto" w:sz="8"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31" w:type="dxa"/>
            <w:vMerge w:val="restart"/>
            <w:tcBorders>
              <w:top w:val="single" w:color="auto" w:sz="8" w:space="0"/>
              <w:left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kern w:val="0"/>
                <w:sz w:val="18"/>
                <w:szCs w:val="18"/>
              </w:rPr>
              <w:t>数据中台底座</w:t>
            </w:r>
          </w:p>
        </w:tc>
        <w:tc>
          <w:tcPr>
            <w:tcW w:w="3288" w:type="dxa"/>
            <w:tcBorders>
              <w:top w:val="single" w:color="auto" w:sz="8" w:space="0"/>
              <w:left w:val="single" w:color="auto" w:sz="8" w:space="0"/>
              <w:bottom w:val="single" w:color="auto" w:sz="8"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目录与资源管理</w:t>
            </w:r>
          </w:p>
        </w:tc>
        <w:tc>
          <w:tcPr>
            <w:tcW w:w="709" w:type="dxa"/>
            <w:vMerge w:val="restart"/>
            <w:tcBorders>
              <w:top w:val="single" w:color="auto" w:sz="8" w:space="0"/>
              <w:left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套</w:t>
            </w:r>
          </w:p>
        </w:tc>
        <w:tc>
          <w:tcPr>
            <w:tcW w:w="708" w:type="dxa"/>
            <w:vMerge w:val="restart"/>
            <w:tcBorders>
              <w:top w:val="single" w:color="auto" w:sz="8" w:space="0"/>
              <w:left w:val="single" w:color="auto" w:sz="8"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709" w:type="dxa"/>
            <w:vMerge w:val="restart"/>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vMerge w:val="restart"/>
            <w:tcBorders>
              <w:top w:val="single" w:color="auto" w:sz="8" w:space="0"/>
              <w:lef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left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b/>
                <w:kern w:val="0"/>
                <w:sz w:val="18"/>
                <w:szCs w:val="18"/>
              </w:rPr>
            </w:pPr>
          </w:p>
        </w:tc>
        <w:tc>
          <w:tcPr>
            <w:tcW w:w="3288" w:type="dxa"/>
            <w:tcBorders>
              <w:top w:val="single" w:color="auto" w:sz="8" w:space="0"/>
              <w:left w:val="single" w:color="auto" w:sz="8" w:space="0"/>
              <w:bottom w:val="single" w:color="auto" w:sz="8"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数据采集整合系统</w:t>
            </w:r>
          </w:p>
        </w:tc>
        <w:tc>
          <w:tcPr>
            <w:tcW w:w="709" w:type="dxa"/>
            <w:vMerge w:val="continue"/>
            <w:tcBorders>
              <w:left w:val="single" w:color="auto" w:sz="4" w:space="0"/>
              <w:right w:val="single" w:color="auto" w:sz="8" w:space="0"/>
            </w:tcBorders>
            <w:vAlign w:val="center"/>
          </w:tcPr>
          <w:p>
            <w:pPr>
              <w:spacing w:line="240" w:lineRule="exact"/>
              <w:jc w:val="center"/>
              <w:rPr>
                <w:rFonts w:ascii="宋体" w:hAnsi="宋体" w:eastAsia="宋体" w:cs="宋体"/>
                <w:sz w:val="18"/>
                <w:szCs w:val="18"/>
              </w:rPr>
            </w:pPr>
          </w:p>
        </w:tc>
        <w:tc>
          <w:tcPr>
            <w:tcW w:w="708"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09"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vMerge w:val="continue"/>
            <w:tcBorders>
              <w:left w:val="single" w:color="auto" w:sz="8" w:space="0"/>
            </w:tcBorders>
            <w:vAlign w:val="center"/>
          </w:tcPr>
          <w:p>
            <w:pPr>
              <w:spacing w:line="240" w:lineRule="exact"/>
              <w:jc w:val="center"/>
              <w:rPr>
                <w:rFonts w:ascii="宋体" w:hAnsi="宋体" w:eastAsia="宋体" w:cs="宋体"/>
                <w:sz w:val="18"/>
                <w:szCs w:val="18"/>
              </w:rPr>
            </w:pPr>
          </w:p>
        </w:tc>
        <w:tc>
          <w:tcPr>
            <w:tcW w:w="776" w:type="dxa"/>
            <w:tcBorders>
              <w:left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b/>
                <w:sz w:val="18"/>
                <w:szCs w:val="18"/>
              </w:rPr>
            </w:pPr>
          </w:p>
        </w:tc>
        <w:tc>
          <w:tcPr>
            <w:tcW w:w="3288" w:type="dxa"/>
            <w:tcBorders>
              <w:top w:val="single" w:color="auto" w:sz="8" w:space="0"/>
              <w:left w:val="single" w:color="auto" w:sz="8" w:space="0"/>
              <w:bottom w:val="single" w:color="auto" w:sz="8"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kern w:val="0"/>
                <w:sz w:val="18"/>
                <w:szCs w:val="18"/>
              </w:rPr>
              <w:t>数据交换共享系统</w:t>
            </w:r>
          </w:p>
        </w:tc>
        <w:tc>
          <w:tcPr>
            <w:tcW w:w="709" w:type="dxa"/>
            <w:vMerge w:val="continue"/>
            <w:tcBorders>
              <w:left w:val="single" w:color="auto" w:sz="4" w:space="0"/>
              <w:right w:val="single" w:color="auto" w:sz="8" w:space="0"/>
            </w:tcBorders>
            <w:vAlign w:val="center"/>
          </w:tcPr>
          <w:p>
            <w:pPr>
              <w:spacing w:line="240" w:lineRule="exact"/>
              <w:jc w:val="center"/>
              <w:rPr>
                <w:rFonts w:ascii="宋体" w:hAnsi="宋体" w:eastAsia="宋体" w:cs="宋体"/>
                <w:sz w:val="18"/>
                <w:szCs w:val="18"/>
              </w:rPr>
            </w:pPr>
          </w:p>
        </w:tc>
        <w:tc>
          <w:tcPr>
            <w:tcW w:w="708"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09"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vMerge w:val="continue"/>
            <w:tcBorders>
              <w:left w:val="single" w:color="auto" w:sz="8" w:space="0"/>
            </w:tcBorders>
            <w:vAlign w:val="center"/>
          </w:tcPr>
          <w:p>
            <w:pPr>
              <w:spacing w:line="240" w:lineRule="exact"/>
              <w:jc w:val="center"/>
              <w:rPr>
                <w:rFonts w:ascii="宋体" w:hAnsi="宋体" w:eastAsia="宋体" w:cs="宋体"/>
                <w:sz w:val="18"/>
                <w:szCs w:val="18"/>
              </w:rPr>
            </w:pPr>
          </w:p>
        </w:tc>
        <w:tc>
          <w:tcPr>
            <w:tcW w:w="776" w:type="dxa"/>
            <w:tcBorders>
              <w:left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b/>
                <w:sz w:val="18"/>
                <w:szCs w:val="18"/>
              </w:rPr>
            </w:pPr>
          </w:p>
        </w:tc>
        <w:tc>
          <w:tcPr>
            <w:tcW w:w="3288" w:type="dxa"/>
            <w:tcBorders>
              <w:top w:val="single" w:color="auto" w:sz="8" w:space="0"/>
              <w:left w:val="single" w:color="auto" w:sz="8" w:space="0"/>
              <w:bottom w:val="single" w:color="auto" w:sz="8"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数据治理系统</w:t>
            </w:r>
          </w:p>
        </w:tc>
        <w:tc>
          <w:tcPr>
            <w:tcW w:w="709" w:type="dxa"/>
            <w:vMerge w:val="continue"/>
            <w:tcBorders>
              <w:left w:val="single" w:color="auto" w:sz="4" w:space="0"/>
              <w:right w:val="single" w:color="auto" w:sz="8" w:space="0"/>
            </w:tcBorders>
            <w:vAlign w:val="center"/>
          </w:tcPr>
          <w:p>
            <w:pPr>
              <w:spacing w:line="240" w:lineRule="exact"/>
              <w:jc w:val="center"/>
              <w:rPr>
                <w:rFonts w:ascii="宋体" w:hAnsi="宋体" w:eastAsia="宋体" w:cs="宋体"/>
                <w:sz w:val="18"/>
                <w:szCs w:val="18"/>
              </w:rPr>
            </w:pPr>
          </w:p>
        </w:tc>
        <w:tc>
          <w:tcPr>
            <w:tcW w:w="708"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09" w:type="dxa"/>
            <w:vMerge w:val="continue"/>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vMerge w:val="continue"/>
            <w:tcBorders>
              <w:left w:val="single" w:color="auto" w:sz="8" w:space="0"/>
            </w:tcBorders>
            <w:vAlign w:val="center"/>
          </w:tcPr>
          <w:p>
            <w:pPr>
              <w:spacing w:line="240" w:lineRule="exact"/>
              <w:jc w:val="center"/>
              <w:rPr>
                <w:rFonts w:ascii="宋体" w:hAnsi="宋体" w:eastAsia="宋体" w:cs="宋体"/>
                <w:sz w:val="18"/>
                <w:szCs w:val="18"/>
              </w:rPr>
            </w:pPr>
          </w:p>
        </w:tc>
        <w:tc>
          <w:tcPr>
            <w:tcW w:w="776" w:type="dxa"/>
            <w:tcBorders>
              <w:left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vMerge w:val="continue"/>
            <w:tcBorders>
              <w:bottom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1331" w:type="dxa"/>
            <w:vMerge w:val="continue"/>
            <w:tcBorders>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3288" w:type="dxa"/>
            <w:tcBorders>
              <w:top w:val="single" w:color="auto" w:sz="8" w:space="0"/>
              <w:left w:val="single" w:color="auto" w:sz="8" w:space="0"/>
              <w:bottom w:val="single" w:color="auto" w:sz="8"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数据实施</w:t>
            </w:r>
          </w:p>
        </w:tc>
        <w:tc>
          <w:tcPr>
            <w:tcW w:w="709" w:type="dxa"/>
            <w:vMerge w:val="continue"/>
            <w:tcBorders>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08" w:type="dxa"/>
            <w:vMerge w:val="continue"/>
            <w:tcBorders>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09" w:type="dxa"/>
            <w:vMerge w:val="continue"/>
            <w:tcBorders>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vMerge w:val="continue"/>
            <w:tcBorders>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bottom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6745" w:type="dxa"/>
            <w:gridSpan w:val="5"/>
            <w:tcBorders>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b/>
                <w:kern w:val="0"/>
                <w:sz w:val="18"/>
                <w:szCs w:val="18"/>
              </w:rPr>
              <w:t>数据中台底座费用小计</w:t>
            </w:r>
          </w:p>
        </w:tc>
        <w:tc>
          <w:tcPr>
            <w:tcW w:w="776" w:type="dxa"/>
            <w:tcBorders>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left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67" w:type="dxa"/>
            <w:gridSpan w:val="7"/>
            <w:tcBorders>
              <w:top w:val="single" w:color="auto" w:sz="8" w:space="0"/>
              <w:bottom w:val="single" w:color="auto" w:sz="8" w:space="0"/>
            </w:tcBorders>
            <w:vAlign w:val="center"/>
          </w:tcPr>
          <w:p>
            <w:pPr>
              <w:spacing w:line="240" w:lineRule="exact"/>
              <w:jc w:val="left"/>
              <w:rPr>
                <w:rFonts w:ascii="宋体" w:hAnsi="宋体" w:eastAsia="宋体" w:cs="宋体"/>
                <w:b/>
                <w:sz w:val="18"/>
                <w:szCs w:val="18"/>
              </w:rPr>
            </w:pPr>
            <w:r>
              <w:rPr>
                <w:rFonts w:hint="eastAsia" w:ascii="宋体" w:hAnsi="宋体" w:eastAsia="宋体" w:cs="宋体"/>
                <w:b/>
                <w:sz w:val="18"/>
                <w:szCs w:val="18"/>
              </w:rPr>
              <w:t>三、应用系统</w:t>
            </w:r>
          </w:p>
        </w:tc>
        <w:tc>
          <w:tcPr>
            <w:tcW w:w="776" w:type="dxa"/>
            <w:tcBorders>
              <w:top w:val="single" w:color="auto" w:sz="8" w:space="0"/>
              <w:bottom w:val="single" w:color="auto" w:sz="8" w:space="0"/>
            </w:tcBorders>
            <w:vAlign w:val="center"/>
          </w:tcPr>
          <w:p>
            <w:pPr>
              <w:spacing w:line="240" w:lineRule="exact"/>
              <w:jc w:val="left"/>
              <w:rPr>
                <w:rFonts w:ascii="宋体" w:hAnsi="宋体" w:eastAsia="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746" w:type="dxa"/>
            <w:tcBorders>
              <w:top w:val="single" w:color="auto" w:sz="8" w:space="0"/>
              <w:bottom w:val="single" w:color="auto" w:sz="8" w:space="0"/>
            </w:tcBorders>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1331"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信息门户</w:t>
            </w:r>
          </w:p>
        </w:tc>
        <w:tc>
          <w:tcPr>
            <w:tcW w:w="3288" w:type="dxa"/>
            <w:tcBorders>
              <w:top w:val="single" w:color="auto" w:sz="8" w:space="0"/>
              <w:bottom w:val="single" w:color="auto" w:sz="8" w:space="0"/>
            </w:tcBorders>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搭建用户及专项工作门户、实现数据整合、报表呈现并具有良好的界面设计和符合原OA系统的操作习惯</w:t>
            </w:r>
          </w:p>
        </w:tc>
        <w:tc>
          <w:tcPr>
            <w:tcW w:w="709" w:type="dxa"/>
            <w:tcBorders>
              <w:top w:val="single" w:color="auto" w:sz="8" w:space="0"/>
              <w:bottom w:val="single" w:color="auto" w:sz="8" w:space="0"/>
            </w:tcBorders>
            <w:vAlign w:val="center"/>
          </w:tcPr>
          <w:p>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746" w:type="dxa"/>
            <w:tcBorders>
              <w:top w:val="single" w:color="auto" w:sz="8" w:space="0"/>
              <w:bottom w:val="single" w:color="auto" w:sz="8" w:space="0"/>
            </w:tcBorders>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1331"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流程管理功能</w:t>
            </w:r>
          </w:p>
        </w:tc>
        <w:tc>
          <w:tcPr>
            <w:tcW w:w="3288" w:type="dxa"/>
            <w:tcBorders>
              <w:top w:val="single" w:color="auto" w:sz="8" w:space="0"/>
              <w:bottom w:val="single" w:color="auto" w:sz="8" w:space="0"/>
            </w:tcBorders>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实现流程模板、流程优化、可视化流程工具、流程集成、移动流程管理功能</w:t>
            </w:r>
          </w:p>
        </w:tc>
        <w:tc>
          <w:tcPr>
            <w:tcW w:w="709" w:type="dxa"/>
            <w:tcBorders>
              <w:top w:val="single" w:color="auto" w:sz="8" w:space="0"/>
              <w:bottom w:val="single" w:color="auto" w:sz="8" w:space="0"/>
            </w:tcBorders>
            <w:vAlign w:val="center"/>
          </w:tcPr>
          <w:p>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3</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数字办公管理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实现各系统在平台内的单点登录功能、领导决策管理、办公管理及公文管理功能</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4</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数字财会管理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实现财务报表分析及指标分析、管理门户、网上报账管理、电子影像管理及与浪潮、资金系统集成功能等</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5</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数字人才管理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实现报表展现、人才门户、人事流程、教育培训及与HR系统集成功能</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6</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数字经营管理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实现公路数字化管理、工程数字化管理、数字经营看班、数字化资产管理、数字化产权管理、数字化章程管理、数字化董事会管理、数字化股东会管理、数字化招商引资管理、数字投资管理及与原有各业务系统集成功能</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r>
              <w:rPr>
                <w:rFonts w:hint="eastAsia" w:ascii="宋体" w:hAnsi="宋体" w:eastAsia="宋体" w:cs="宋体"/>
                <w:sz w:val="18"/>
                <w:szCs w:val="18"/>
                <w:highlight w:val="none"/>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r>
              <w:rPr>
                <w:rFonts w:hint="eastAsia" w:ascii="宋体" w:hAnsi="宋体" w:eastAsia="宋体" w:cs="宋体"/>
                <w:sz w:val="18"/>
                <w:szCs w:val="18"/>
                <w:highlight w:val="none"/>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7</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数字建管管理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实现建设项目进展分析台账及过程管理功能</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8</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数字安全管理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实现安全责任管理、安全过程管控、工程质量管理、安全数据文档管理功能</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9</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数字战略管理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实现战略细化看板、战略领域管理功能</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r>
              <w:rPr>
                <w:rFonts w:hint="eastAsia" w:ascii="宋体" w:hAnsi="宋体" w:eastAsia="宋体" w:cs="宋体"/>
                <w:sz w:val="18"/>
                <w:szCs w:val="18"/>
                <w:highlight w:val="none"/>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r>
              <w:rPr>
                <w:rFonts w:hint="eastAsia" w:ascii="宋体" w:hAnsi="宋体" w:eastAsia="宋体" w:cs="宋体"/>
                <w:sz w:val="18"/>
                <w:szCs w:val="18"/>
                <w:highlight w:val="none"/>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10</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数字监察管理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实现监察问题管理、监察预防管理、三重一大跟踪管理、专项监察档案管理、重点监督动态预警管理功能</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11</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数字文化管理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实现数字文化管理门户、文化活动展示、企业文化展示、文明单位创建成果展示</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r>
              <w:rPr>
                <w:rFonts w:hint="eastAsia" w:ascii="宋体" w:hAnsi="宋体" w:eastAsia="宋体" w:cs="宋体"/>
                <w:sz w:val="18"/>
                <w:szCs w:val="18"/>
                <w:highlight w:val="none"/>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r>
              <w:rPr>
                <w:rFonts w:hint="eastAsia" w:ascii="宋体" w:hAnsi="宋体" w:eastAsia="宋体" w:cs="宋体"/>
                <w:sz w:val="18"/>
                <w:szCs w:val="18"/>
                <w:highlight w:val="none"/>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highlight w:val="none"/>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ascii="宋体" w:hAnsi="宋体" w:eastAsia="宋体" w:cs="宋体"/>
                <w:sz w:val="18"/>
                <w:szCs w:val="18"/>
              </w:rPr>
              <w:t>12</w:t>
            </w:r>
          </w:p>
        </w:tc>
        <w:tc>
          <w:tcPr>
            <w:tcW w:w="1331" w:type="dxa"/>
            <w:tcBorders>
              <w:top w:val="single" w:color="auto" w:sz="8" w:space="0"/>
              <w:bottom w:val="single" w:color="auto" w:sz="8"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系统集成管理</w:t>
            </w:r>
          </w:p>
        </w:tc>
        <w:tc>
          <w:tcPr>
            <w:tcW w:w="3288"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通过系统集成管理功能，可以提供标准接口与原集团内的其他系统打通，实现数据抓取及在中台中进行呈现</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6745" w:type="dxa"/>
            <w:gridSpan w:val="5"/>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b/>
                <w:bCs/>
                <w:sz w:val="18"/>
                <w:szCs w:val="18"/>
              </w:rPr>
              <w:t>应用系统费用小计</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四</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安装、测试和调试</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五</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税金</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六</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采购代理服务费</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含</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七</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技术服务费</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八</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技术培训费</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6"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九</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本项目监理费用（固定费用4.88万元，按投标人须知12.1条款执行） </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6" w:type="dxa"/>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十</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91" w:type="dxa"/>
            <w:gridSpan w:val="6"/>
            <w:tcBorders>
              <w:top w:val="single" w:color="auto" w:sz="8" w:space="0"/>
              <w:bottom w:val="single" w:color="auto" w:sz="8"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sz w:val="18"/>
                <w:szCs w:val="18"/>
              </w:rPr>
              <w:t>总计价</w:t>
            </w:r>
          </w:p>
        </w:tc>
        <w:tc>
          <w:tcPr>
            <w:tcW w:w="1552" w:type="dxa"/>
            <w:gridSpan w:val="2"/>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bl>
    <w:p>
      <w:pPr>
        <w:rPr>
          <w:rFonts w:ascii="宋体" w:hAnsi="宋体" w:eastAsia="宋体" w:cs="宋体"/>
          <w:b/>
          <w:szCs w:val="21"/>
        </w:rPr>
      </w:pPr>
      <w:r>
        <w:rPr>
          <w:rFonts w:hint="eastAsia" w:ascii="宋体" w:hAnsi="宋体" w:eastAsia="宋体" w:cs="宋体"/>
          <w:b/>
          <w:szCs w:val="21"/>
        </w:rPr>
        <w:t>说明：1.本表总计价应与附件六“开标价一览表”中投标总报价相一致。</w:t>
      </w:r>
    </w:p>
    <w:p>
      <w:pPr>
        <w:ind w:firstLine="632" w:firstLineChars="300"/>
        <w:rPr>
          <w:rFonts w:ascii="宋体" w:hAnsi="宋体" w:eastAsia="宋体" w:cs="宋体"/>
          <w:b/>
          <w:szCs w:val="21"/>
        </w:rPr>
      </w:pPr>
      <w:r>
        <w:rPr>
          <w:rFonts w:hint="eastAsia" w:ascii="宋体" w:hAnsi="宋体" w:eastAsia="宋体" w:cs="宋体"/>
          <w:b/>
          <w:szCs w:val="21"/>
        </w:rPr>
        <w:t>2.各项费用如已包含在产品价格中请注明“含”，若免费请注明“免”, 若没有请注明“无”。</w:t>
      </w:r>
    </w:p>
    <w:p>
      <w:pPr>
        <w:ind w:firstLine="632" w:firstLineChars="300"/>
        <w:rPr>
          <w:rFonts w:ascii="宋体" w:hAnsi="宋体" w:eastAsia="宋体" w:cs="宋体"/>
          <w:b/>
          <w:szCs w:val="21"/>
          <w:u w:val="single"/>
        </w:rPr>
      </w:pPr>
      <w:r>
        <w:rPr>
          <w:rFonts w:hint="eastAsia" w:ascii="宋体" w:hAnsi="宋体" w:eastAsia="宋体" w:cs="宋体"/>
          <w:b/>
          <w:szCs w:val="21"/>
        </w:rPr>
        <w:t>3.</w:t>
      </w:r>
      <w:r>
        <w:rPr>
          <w:rFonts w:hint="eastAsia" w:ascii="宋体" w:hAnsi="宋体" w:eastAsia="宋体" w:cs="宋体"/>
          <w:b/>
          <w:szCs w:val="21"/>
          <w:u w:val="single"/>
        </w:rPr>
        <w:t>▲不提供详细分项报价将视为没有实质性响应采购文件。</w:t>
      </w:r>
    </w:p>
    <w:p>
      <w:pPr>
        <w:ind w:firstLine="632" w:firstLineChars="300"/>
        <w:rPr>
          <w:rFonts w:ascii="宋体" w:hAnsi="宋体" w:eastAsia="宋体" w:cs="宋体"/>
          <w:b/>
          <w:szCs w:val="21"/>
          <w:u w:val="single"/>
        </w:rPr>
      </w:pPr>
      <w:r>
        <w:rPr>
          <w:rFonts w:hint="eastAsia" w:ascii="宋体" w:hAnsi="宋体" w:eastAsia="宋体" w:cs="宋体"/>
          <w:b/>
          <w:szCs w:val="21"/>
          <w:u w:val="single"/>
        </w:rPr>
        <w:t>4.▲以上报价不得出现在技术标中。</w:t>
      </w:r>
    </w:p>
    <w:p>
      <w:pPr>
        <w:autoSpaceDE w:val="0"/>
        <w:autoSpaceDN w:val="0"/>
        <w:adjustRightInd w:val="0"/>
        <w:spacing w:after="120"/>
        <w:jc w:val="left"/>
        <w:rPr>
          <w:rFonts w:ascii="宋体" w:hAnsi="宋体" w:eastAsia="宋体" w:cs="宋体"/>
          <w:sz w:val="18"/>
          <w:szCs w:val="18"/>
        </w:rPr>
      </w:pPr>
      <w:r>
        <w:rPr>
          <w:rFonts w:hint="eastAsia" w:ascii="宋体" w:hAnsi="宋体" w:eastAsia="宋体" w:cs="宋体"/>
          <w:b/>
          <w:szCs w:val="21"/>
        </w:rPr>
        <w:t xml:space="preserve">    </w:t>
      </w:r>
    </w:p>
    <w:p>
      <w:pPr>
        <w:spacing w:line="440" w:lineRule="exact"/>
        <w:rPr>
          <w:rFonts w:ascii="宋体" w:hAnsi="宋体" w:eastAsia="宋体" w:cs="宋体"/>
          <w:sz w:val="22"/>
        </w:rPr>
      </w:pPr>
      <w:r>
        <w:rPr>
          <w:rFonts w:hint="eastAsia" w:ascii="宋体" w:hAnsi="宋体" w:eastAsia="宋体" w:cs="宋体"/>
          <w:sz w:val="22"/>
        </w:rPr>
        <w:t>投标人全称（盖公章）：</w:t>
      </w:r>
    </w:p>
    <w:p>
      <w:pPr>
        <w:spacing w:line="440" w:lineRule="exact"/>
        <w:rPr>
          <w:rFonts w:ascii="宋体" w:hAnsi="宋体" w:eastAsia="宋体" w:cs="宋体"/>
          <w:sz w:val="22"/>
        </w:rPr>
      </w:pPr>
      <w:r>
        <w:rPr>
          <w:rFonts w:hint="eastAsia" w:ascii="宋体" w:hAnsi="宋体" w:eastAsia="宋体" w:cs="宋体"/>
          <w:sz w:val="22"/>
        </w:rPr>
        <w:t>法定代表人（法定负责人）或授权代表（签字或盖章）：</w:t>
      </w:r>
    </w:p>
    <w:p>
      <w:pPr>
        <w:spacing w:line="440" w:lineRule="exact"/>
        <w:rPr>
          <w:rFonts w:ascii="宋体" w:hAnsi="宋体" w:eastAsia="宋体" w:cs="宋体"/>
          <w:sz w:val="22"/>
        </w:rPr>
      </w:pPr>
      <w:r>
        <w:rPr>
          <w:rFonts w:hint="eastAsia" w:ascii="宋体" w:hAnsi="宋体" w:eastAsia="宋体" w:cs="宋体"/>
          <w:sz w:val="22"/>
        </w:rPr>
        <w:t>日 期：</w:t>
      </w:r>
    </w:p>
    <w:p>
      <w:pPr>
        <w:keepLines/>
        <w:spacing w:before="260" w:after="260"/>
        <w:jc w:val="center"/>
        <w:outlineLvl w:val="1"/>
        <w:rPr>
          <w:rFonts w:ascii="宋体" w:hAnsi="宋体" w:eastAsia="宋体" w:cs="宋体"/>
          <w:sz w:val="36"/>
          <w:szCs w:val="36"/>
        </w:rPr>
      </w:pPr>
    </w:p>
    <w:p>
      <w:pPr>
        <w:keepLines/>
        <w:spacing w:before="260" w:after="260"/>
        <w:jc w:val="center"/>
        <w:outlineLvl w:val="1"/>
        <w:rPr>
          <w:rFonts w:ascii="宋体" w:hAnsi="宋体" w:eastAsia="宋体" w:cs="宋体"/>
          <w:sz w:val="36"/>
          <w:szCs w:val="36"/>
        </w:rPr>
      </w:pPr>
    </w:p>
    <w:p>
      <w:pPr>
        <w:keepLines/>
        <w:spacing w:before="260" w:after="260"/>
        <w:jc w:val="center"/>
        <w:outlineLvl w:val="1"/>
        <w:rPr>
          <w:rFonts w:ascii="宋体" w:hAnsi="宋体" w:eastAsia="宋体" w:cs="宋体"/>
          <w:sz w:val="36"/>
          <w:szCs w:val="36"/>
        </w:rPr>
      </w:pPr>
      <w:r>
        <w:rPr>
          <w:rFonts w:hint="eastAsia" w:ascii="宋体" w:hAnsi="宋体" w:eastAsia="宋体" w:cs="宋体"/>
          <w:sz w:val="36"/>
          <w:szCs w:val="36"/>
        </w:rPr>
        <w:br w:type="page"/>
      </w:r>
      <w:bookmarkStart w:id="380" w:name="_Hlk69240860"/>
      <w:r>
        <w:rPr>
          <w:rFonts w:hint="eastAsia" w:ascii="宋体" w:hAnsi="宋体" w:eastAsia="宋体" w:cs="宋体"/>
          <w:sz w:val="36"/>
          <w:szCs w:val="36"/>
        </w:rPr>
        <w:t>第四部分   采购内容及要求</w:t>
      </w:r>
      <w:bookmarkEnd w:id="375"/>
      <w:bookmarkEnd w:id="376"/>
      <w:bookmarkEnd w:id="377"/>
      <w:bookmarkEnd w:id="378"/>
      <w:bookmarkEnd w:id="379"/>
    </w:p>
    <w:p>
      <w:pPr>
        <w:widowControl/>
        <w:outlineLvl w:val="1"/>
        <w:rPr>
          <w:rFonts w:ascii="宋体" w:hAnsi="宋体" w:eastAsia="宋体" w:cs="宋体"/>
          <w:b/>
          <w:bCs/>
          <w:kern w:val="0"/>
          <w:szCs w:val="21"/>
        </w:rPr>
      </w:pPr>
      <w:bookmarkStart w:id="381" w:name="_Toc448846627"/>
      <w:bookmarkStart w:id="382" w:name="_Toc221356960"/>
      <w:bookmarkStart w:id="383" w:name="_Toc221374633"/>
      <w:bookmarkStart w:id="384" w:name="_Toc221356897"/>
    </w:p>
    <w:bookmarkEnd w:id="381"/>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数字化平台项目内容及要求</w:t>
      </w:r>
    </w:p>
    <w:p>
      <w:pPr>
        <w:adjustRightInd w:val="0"/>
        <w:spacing w:line="320" w:lineRule="exact"/>
        <w:jc w:val="left"/>
        <w:textAlignment w:val="baseline"/>
        <w:outlineLvl w:val="2"/>
        <w:rPr>
          <w:rFonts w:ascii="宋体" w:hAnsi="宋体" w:eastAsia="宋体" w:cs="宋体"/>
          <w:b/>
          <w:bCs/>
          <w:snapToGrid w:val="0"/>
          <w:kern w:val="0"/>
          <w:szCs w:val="21"/>
        </w:rPr>
      </w:pPr>
      <w:bookmarkStart w:id="385" w:name="_Toc528564047"/>
    </w:p>
    <w:bookmarkEnd w:id="385"/>
    <w:p>
      <w:pPr>
        <w:spacing w:line="360" w:lineRule="auto"/>
        <w:rPr>
          <w:rFonts w:ascii="宋体" w:hAnsi="宋体" w:eastAsia="宋体" w:cs="宋体"/>
          <w:b/>
          <w:szCs w:val="21"/>
          <w:shd w:val="clear" w:color="auto" w:fill="FFFFFF"/>
        </w:rPr>
      </w:pPr>
      <w:bookmarkStart w:id="386" w:name="_Toc262049426"/>
      <w:bookmarkStart w:id="387" w:name="_Toc245191321"/>
      <w:bookmarkStart w:id="388" w:name="_Toc246261272"/>
      <w:bookmarkStart w:id="389" w:name="_Toc245722288"/>
      <w:bookmarkStart w:id="390" w:name="_Toc249758722"/>
      <w:bookmarkStart w:id="391" w:name="_Toc262105511"/>
      <w:bookmarkStart w:id="392" w:name="_Toc222114886"/>
      <w:bookmarkStart w:id="393" w:name="_Toc239145361"/>
      <w:bookmarkStart w:id="394" w:name="_Toc223716005"/>
      <w:bookmarkStart w:id="395" w:name="_Toc241404209"/>
      <w:bookmarkStart w:id="396" w:name="_Toc221423626"/>
      <w:bookmarkStart w:id="397" w:name="_Toc448846693"/>
      <w:bookmarkStart w:id="398" w:name="_Toc249758872"/>
      <w:r>
        <w:rPr>
          <w:rFonts w:hint="eastAsia" w:ascii="宋体" w:hAnsi="宋体" w:eastAsia="宋体" w:cs="宋体"/>
          <w:b/>
          <w:szCs w:val="21"/>
          <w:shd w:val="clear" w:color="auto" w:fill="FFFFFF"/>
        </w:rPr>
        <w:t>一、总则</w:t>
      </w:r>
    </w:p>
    <w:p>
      <w:pPr>
        <w:ind w:firstLine="420" w:firstLineChars="200"/>
        <w:rPr>
          <w:rFonts w:ascii="宋体" w:hAnsi="宋体" w:eastAsia="宋体" w:cs="宋体"/>
          <w:szCs w:val="21"/>
        </w:rPr>
      </w:pPr>
      <w:r>
        <w:rPr>
          <w:rFonts w:hint="eastAsia" w:ascii="宋体" w:hAnsi="宋体" w:eastAsia="宋体" w:cs="宋体"/>
          <w:szCs w:val="21"/>
        </w:rPr>
        <w:t>1.1 本技术规范书提出的是最低限度的技术要求，并未规定所有的技术要求和适用的标准，投标供应商应提供一套满足本技术文件和所列标准要求的高质量软件产品及其相应服务。对国家有关安全、环保等强制性标准，必须满足其要求。</w:t>
      </w:r>
    </w:p>
    <w:p>
      <w:pPr>
        <w:ind w:firstLine="420" w:firstLineChars="200"/>
        <w:rPr>
          <w:rFonts w:ascii="宋体" w:hAnsi="宋体" w:eastAsia="宋体" w:cs="宋体"/>
          <w:szCs w:val="21"/>
        </w:rPr>
      </w:pPr>
      <w:r>
        <w:rPr>
          <w:rFonts w:hint="eastAsia" w:ascii="宋体" w:hAnsi="宋体" w:eastAsia="宋体" w:cs="宋体"/>
          <w:szCs w:val="21"/>
        </w:rPr>
        <w:t>1.2 投标人须对采购文件中的各个条款一一给予实质性答复，如有异议，须提交技术偏离表。</w:t>
      </w:r>
    </w:p>
    <w:p>
      <w:pPr>
        <w:ind w:firstLine="420" w:firstLineChars="200"/>
        <w:rPr>
          <w:rFonts w:ascii="宋体" w:hAnsi="宋体" w:eastAsia="宋体" w:cs="宋体"/>
          <w:szCs w:val="21"/>
        </w:rPr>
      </w:pPr>
      <w:r>
        <w:rPr>
          <w:rFonts w:hint="eastAsia" w:ascii="宋体" w:hAnsi="宋体" w:eastAsia="宋体" w:cs="宋体"/>
          <w:szCs w:val="21"/>
        </w:rPr>
        <w:t>如果投标供应商未以书面形式对本规范书的条文提出异议，则意味着投标供应商完全响应本技术文件的要求，投标供应商提供的软件系统和有关资料和服务等应完全满足本技术文件和有关工业标准的要求。</w:t>
      </w:r>
    </w:p>
    <w:p>
      <w:pPr>
        <w:ind w:firstLine="420" w:firstLineChars="200"/>
        <w:rPr>
          <w:rFonts w:ascii="宋体" w:hAnsi="宋体" w:eastAsia="宋体" w:cs="宋体"/>
          <w:szCs w:val="21"/>
        </w:rPr>
      </w:pPr>
      <w:r>
        <w:rPr>
          <w:rFonts w:hint="eastAsia" w:ascii="宋体" w:hAnsi="宋体" w:eastAsia="宋体" w:cs="宋体"/>
          <w:szCs w:val="21"/>
        </w:rPr>
        <w:t>1.3 本项目不允许投标供应商再转包，不允许联合投标。投标供应商提供的文件，包括图纸、说明书、使用手册、项目实施文档等，均应使用国际单位制(SI)。所有文件、图纸及相互通讯，均应使用中文。</w:t>
      </w:r>
    </w:p>
    <w:p>
      <w:pPr>
        <w:ind w:firstLine="420" w:firstLineChars="200"/>
        <w:rPr>
          <w:rFonts w:ascii="宋体" w:hAnsi="宋体" w:eastAsia="宋体" w:cs="宋体"/>
          <w:szCs w:val="21"/>
        </w:rPr>
      </w:pPr>
      <w:r>
        <w:rPr>
          <w:rFonts w:hint="eastAsia" w:ascii="宋体" w:hAnsi="宋体" w:eastAsia="宋体" w:cs="宋体"/>
          <w:szCs w:val="21"/>
        </w:rPr>
        <w:t>1.4 本项目涉及到的全部费用均被认为已包含在报价中。投标供应商应保证采购人不承担有关软件版权的一切责任，投标供应商保证所提供的软件系统不涉及专利问题，如涉及专利费用及责任，全部由投标供应商承担。</w:t>
      </w:r>
    </w:p>
    <w:p>
      <w:pPr>
        <w:ind w:firstLine="420" w:firstLineChars="200"/>
        <w:rPr>
          <w:rFonts w:ascii="宋体" w:hAnsi="宋体" w:eastAsia="宋体" w:cs="宋体"/>
          <w:szCs w:val="21"/>
        </w:rPr>
      </w:pPr>
      <w:r>
        <w:rPr>
          <w:rFonts w:hint="eastAsia" w:ascii="宋体" w:hAnsi="宋体" w:eastAsia="宋体" w:cs="宋体"/>
          <w:szCs w:val="21"/>
        </w:rPr>
        <w:t>1.5 本项目中的业务需求、配置实施和开发采用供需双方组成联合项目小组的方式进行。投标供应商要完全响应采购人对功能的要求，以使系统功能满足采购人的管理模式及工作流程要求，保证系统适合采购人的现场实际和工作需要。</w:t>
      </w:r>
    </w:p>
    <w:p>
      <w:pPr>
        <w:ind w:firstLine="420" w:firstLineChars="200"/>
        <w:rPr>
          <w:rFonts w:ascii="宋体" w:hAnsi="宋体" w:eastAsia="宋体" w:cs="宋体"/>
          <w:szCs w:val="21"/>
        </w:rPr>
      </w:pPr>
      <w:r>
        <w:rPr>
          <w:rFonts w:hint="eastAsia" w:ascii="宋体" w:hAnsi="宋体" w:eastAsia="宋体" w:cs="宋体"/>
          <w:szCs w:val="21"/>
        </w:rPr>
        <w:t>1.6 本技术文件与合同正文具有同等法律效力。投标产品在设计、制造、检验、包装运输及安装、调试、验收过程中所涉及的标准规范，如：产品标准、规范；安装标准、规范；验收标准、规范等必须完全符合相关标准及规范，并且以最新、最高的标准为执行标准。</w:t>
      </w:r>
    </w:p>
    <w:p>
      <w:pPr>
        <w:ind w:firstLine="420" w:firstLineChars="200"/>
        <w:rPr>
          <w:rFonts w:ascii="宋体" w:hAnsi="宋体" w:eastAsia="宋体" w:cs="宋体"/>
          <w:szCs w:val="21"/>
        </w:rPr>
      </w:pPr>
      <w:r>
        <w:rPr>
          <w:rFonts w:hint="eastAsia" w:ascii="宋体" w:hAnsi="宋体" w:eastAsia="宋体" w:cs="宋体"/>
          <w:szCs w:val="21"/>
        </w:rPr>
        <w:t>1.7 本采购文件所列提出的主要技术要求并非遗漏无缺，投标人有义务对此进行完善，但不可脱离采购文件的实质要求。投标供应商对系统的详细需求分析需经采购人的审查通过后，投标供应商才可开展下一步工作。</w:t>
      </w:r>
    </w:p>
    <w:p>
      <w:pPr>
        <w:ind w:firstLine="420" w:firstLineChars="200"/>
        <w:rPr>
          <w:rFonts w:ascii="宋体" w:hAnsi="宋体" w:eastAsia="宋体" w:cs="宋体"/>
          <w:szCs w:val="21"/>
        </w:rPr>
      </w:pPr>
      <w:r>
        <w:rPr>
          <w:rFonts w:hint="eastAsia" w:ascii="宋体" w:hAnsi="宋体" w:eastAsia="宋体" w:cs="宋体"/>
          <w:szCs w:val="21"/>
        </w:rPr>
        <w:t>1.8 中标的投标人在收到中标通知书后3天内前往采购人处签订技术协议及合同。项目详细计划进度、项目实施时间在投标承诺的总工期不变的框架下由双方协商安排。</w:t>
      </w:r>
    </w:p>
    <w:p>
      <w:pPr>
        <w:ind w:firstLine="420" w:firstLineChars="200"/>
        <w:rPr>
          <w:rFonts w:ascii="宋体" w:hAnsi="宋体" w:eastAsia="宋体" w:cs="宋体"/>
          <w:szCs w:val="21"/>
        </w:rPr>
      </w:pPr>
      <w:r>
        <w:rPr>
          <w:rFonts w:hint="eastAsia" w:ascii="宋体" w:hAnsi="宋体" w:eastAsia="宋体" w:cs="宋体"/>
          <w:szCs w:val="21"/>
        </w:rPr>
        <w:t>1.9工期要求、服务地点，付款方式、免费维护等见合同条款。</w:t>
      </w:r>
    </w:p>
    <w:p>
      <w:pPr>
        <w:ind w:firstLine="420" w:firstLineChars="200"/>
        <w:rPr>
          <w:rFonts w:ascii="宋体" w:hAnsi="宋体" w:eastAsia="宋体" w:cs="宋体"/>
          <w:sz w:val="22"/>
        </w:rPr>
      </w:pPr>
      <w:r>
        <w:rPr>
          <w:rFonts w:hint="eastAsia" w:ascii="宋体" w:hAnsi="宋体" w:eastAsia="宋体" w:cs="宋体"/>
          <w:szCs w:val="21"/>
          <w:u w:val="single"/>
        </w:rPr>
        <w:t>1.10▲投标人须承诺，免费维护期满后本项目云业务续费年费用不得超过云业务部分中标价</w:t>
      </w:r>
      <w:r>
        <w:rPr>
          <w:rFonts w:hint="eastAsia" w:ascii="宋体" w:hAnsi="宋体" w:eastAsia="宋体" w:cs="宋体"/>
          <w:szCs w:val="21"/>
        </w:rPr>
        <w:t>。</w:t>
      </w:r>
    </w:p>
    <w:p>
      <w:pPr>
        <w:pStyle w:val="5"/>
        <w:spacing w:before="120"/>
        <w:jc w:val="left"/>
        <w:rPr>
          <w:rFonts w:ascii="宋体" w:hAnsi="宋体" w:eastAsia="宋体" w:cs="宋体"/>
          <w:sz w:val="22"/>
        </w:rPr>
      </w:pPr>
      <w:r>
        <w:rPr>
          <w:rFonts w:hint="eastAsia" w:ascii="宋体" w:hAnsi="宋体" w:eastAsia="宋体" w:cs="宋体"/>
          <w:sz w:val="22"/>
        </w:rPr>
        <w:t>二、采购清单：</w:t>
      </w:r>
    </w:p>
    <w:tbl>
      <w:tblPr>
        <w:tblStyle w:val="22"/>
        <w:tblW w:w="8766" w:type="dxa"/>
        <w:jc w:val="center"/>
        <w:tblLayout w:type="fixed"/>
        <w:tblCellMar>
          <w:top w:w="0" w:type="dxa"/>
          <w:left w:w="108" w:type="dxa"/>
          <w:bottom w:w="0" w:type="dxa"/>
          <w:right w:w="108" w:type="dxa"/>
        </w:tblCellMar>
      </w:tblPr>
      <w:tblGrid>
        <w:gridCol w:w="691"/>
        <w:gridCol w:w="1427"/>
        <w:gridCol w:w="4751"/>
        <w:gridCol w:w="858"/>
        <w:gridCol w:w="1039"/>
      </w:tblGrid>
      <w:tr>
        <w:tblPrEx>
          <w:tblCellMar>
            <w:top w:w="0" w:type="dxa"/>
            <w:left w:w="108" w:type="dxa"/>
            <w:bottom w:w="0" w:type="dxa"/>
            <w:right w:w="108" w:type="dxa"/>
          </w:tblCellMar>
        </w:tblPrEx>
        <w:trPr>
          <w:trHeight w:val="40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4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47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详细技术要求</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10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数量</w:t>
            </w:r>
          </w:p>
        </w:tc>
      </w:tr>
      <w:tr>
        <w:tblPrEx>
          <w:tblCellMar>
            <w:top w:w="0" w:type="dxa"/>
            <w:left w:w="108" w:type="dxa"/>
            <w:bottom w:w="0" w:type="dxa"/>
            <w:right w:w="108" w:type="dxa"/>
          </w:tblCellMar>
        </w:tblPrEx>
        <w:trPr>
          <w:trHeight w:val="515" w:hRule="atLeast"/>
          <w:jc w:val="center"/>
        </w:trPr>
        <w:tc>
          <w:tcPr>
            <w:tcW w:w="69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42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温州市交通发展集团有限公司数字化平台</w:t>
            </w:r>
          </w:p>
        </w:tc>
        <w:tc>
          <w:tcPr>
            <w:tcW w:w="4751" w:type="dxa"/>
            <w:tcBorders>
              <w:top w:val="nil"/>
              <w:left w:val="nil"/>
              <w:bottom w:val="single" w:color="auto" w:sz="4" w:space="0"/>
              <w:right w:val="single" w:color="auto" w:sz="4" w:space="0"/>
            </w:tcBorders>
            <w:vAlign w:val="center"/>
          </w:tcPr>
          <w:p>
            <w:pPr>
              <w:tabs>
                <w:tab w:val="left" w:pos="846"/>
              </w:tabs>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本次采购的数字化平台为全新建设的独立的数字化平台软件（不含硬件，但含政务云资源服务费、云安全服务费等）。包含数据中台底座建设、综合性应用平台建设、提供政务云资源服务及云安全服务。</w:t>
            </w:r>
          </w:p>
          <w:p>
            <w:pPr>
              <w:tabs>
                <w:tab w:val="left" w:pos="846"/>
              </w:tabs>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本项目综合性应用系统部分，要求PC端和移动端注册用户满足全集团用户使用，最低要求为授权许可数量至少为600并发。</w:t>
            </w:r>
          </w:p>
          <w:p>
            <w:pPr>
              <w:tabs>
                <w:tab w:val="left" w:pos="846"/>
              </w:tabs>
              <w:spacing w:line="240" w:lineRule="exact"/>
              <w:rPr>
                <w:rFonts w:ascii="宋体" w:hAnsi="宋体" w:eastAsia="宋体" w:cs="宋体"/>
                <w:kern w:val="0"/>
                <w:sz w:val="18"/>
                <w:szCs w:val="18"/>
              </w:rPr>
            </w:pPr>
            <w:r>
              <w:rPr>
                <w:rFonts w:hint="eastAsia" w:ascii="宋体" w:hAnsi="宋体" w:eastAsia="宋体" w:cs="宋体"/>
                <w:kern w:val="0"/>
                <w:sz w:val="18"/>
                <w:szCs w:val="18"/>
              </w:rPr>
              <w:t>中标人需提供服务包括不仅限于：</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1、提供数字化平台的设计、开发、软件实施（包括不仅限于负责软件安装、调试、维护，负责项目试运行、协助项目验收等)、系统集成。</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2、提供足够的集团及下属单位系统培训服务（现场软件功能熟悉、操作应用培训，初步安装、简单维护培训等）。</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3、提供足够的满足本项目需要的政务云使用许可和云安全服务。</w:t>
            </w:r>
          </w:p>
          <w:p>
            <w:pPr>
              <w:widowControl/>
              <w:spacing w:line="240" w:lineRule="exact"/>
              <w:jc w:val="left"/>
              <w:rPr>
                <w:rFonts w:ascii="宋体" w:hAnsi="宋体" w:eastAsia="宋体" w:cs="宋体"/>
                <w:sz w:val="18"/>
                <w:szCs w:val="18"/>
              </w:rPr>
            </w:pPr>
            <w:r>
              <w:rPr>
                <w:rFonts w:hint="eastAsia" w:ascii="宋体" w:hAnsi="宋体" w:eastAsia="宋体" w:cs="宋体"/>
                <w:kern w:val="0"/>
                <w:sz w:val="18"/>
                <w:szCs w:val="18"/>
              </w:rPr>
              <w:t>4、</w:t>
            </w:r>
            <w:r>
              <w:rPr>
                <w:rFonts w:hint="eastAsia" w:ascii="宋体" w:hAnsi="宋体" w:eastAsia="宋体" w:cs="宋体"/>
                <w:kern w:val="0"/>
                <w:sz w:val="18"/>
                <w:szCs w:val="18"/>
                <w:u w:val="single"/>
              </w:rPr>
              <w:t>▲提供系统整体验收合格之日起至少3年售后维护服务</w:t>
            </w:r>
            <w:r>
              <w:rPr>
                <w:rFonts w:hint="eastAsia" w:ascii="宋体" w:hAnsi="宋体" w:eastAsia="宋体" w:cs="宋体"/>
                <w:sz w:val="18"/>
                <w:szCs w:val="18"/>
              </w:rPr>
              <w:t>。</w:t>
            </w:r>
          </w:p>
          <w:p>
            <w:pPr>
              <w:widowControl/>
              <w:spacing w:line="240" w:lineRule="exact"/>
              <w:jc w:val="left"/>
              <w:rPr>
                <w:rFonts w:ascii="宋体" w:hAnsi="宋体" w:eastAsia="宋体" w:cs="宋体"/>
                <w:sz w:val="18"/>
                <w:szCs w:val="18"/>
              </w:rPr>
            </w:pPr>
            <w:r>
              <w:rPr>
                <w:rFonts w:hint="eastAsia" w:ascii="宋体" w:hAnsi="宋体" w:eastAsia="宋体" w:cs="宋体"/>
                <w:sz w:val="18"/>
                <w:szCs w:val="18"/>
              </w:rPr>
              <w:t>5、要求根据采用全新开发软件，或者在成熟数字化平台软件上根据本项目特点和采购人需求进行二次定制化开发。</w:t>
            </w:r>
          </w:p>
        </w:tc>
        <w:tc>
          <w:tcPr>
            <w:tcW w:w="8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10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r>
    </w:tbl>
    <w:p>
      <w:pPr>
        <w:ind w:firstLine="440" w:firstLineChars="200"/>
        <w:rPr>
          <w:rFonts w:ascii="宋体" w:hAnsi="宋体" w:eastAsia="宋体" w:cs="宋体"/>
          <w:sz w:val="22"/>
        </w:rPr>
      </w:pPr>
    </w:p>
    <w:p>
      <w:pPr>
        <w:spacing w:line="360" w:lineRule="auto"/>
        <w:rPr>
          <w:rFonts w:ascii="宋体" w:hAnsi="宋体" w:eastAsia="宋体" w:cs="宋体"/>
          <w:b/>
          <w:szCs w:val="21"/>
          <w:shd w:val="clear" w:color="auto" w:fill="FFFFFF"/>
        </w:rPr>
      </w:pPr>
      <w:bookmarkStart w:id="399" w:name="_Toc509825967"/>
      <w:r>
        <w:rPr>
          <w:rFonts w:hint="eastAsia" w:ascii="宋体" w:hAnsi="宋体" w:eastAsia="宋体" w:cs="宋体"/>
          <w:b/>
          <w:szCs w:val="21"/>
          <w:shd w:val="clear" w:color="auto" w:fill="FFFFFF"/>
        </w:rPr>
        <w:t>三、项目概况</w:t>
      </w:r>
    </w:p>
    <w:p>
      <w:pPr>
        <w:ind w:firstLine="440" w:firstLineChars="200"/>
        <w:rPr>
          <w:rFonts w:ascii="宋体" w:hAnsi="宋体" w:eastAsia="宋体" w:cs="宋体"/>
          <w:sz w:val="22"/>
        </w:rPr>
      </w:pPr>
      <w:r>
        <w:rPr>
          <w:rFonts w:hint="eastAsia" w:ascii="宋体" w:hAnsi="宋体" w:eastAsia="宋体" w:cs="宋体"/>
          <w:sz w:val="22"/>
        </w:rPr>
        <w:t>为全面落实国务院国资委关于国有企业数字化转型要求和省委、市委数字化改革会议精神，对集团现代化治理进行数字化赋能。通过建设数字化平台系统方案，汇聚全集团的业务数据，联接各相关业务系统，规范业务流程、数据上报、数据归集、数据分析等主要环节，着力解决全集团信息化建设过程中存在的“数字资源底数不清，业务系统不贯通；数据上报难、分析难、适用难”等问题，打造全集团高质量数字化应用，助力集团在全市国有企业数字化改革中走在前列。</w:t>
      </w:r>
    </w:p>
    <w:p>
      <w:pPr>
        <w:ind w:firstLine="440" w:firstLineChars="200"/>
        <w:rPr>
          <w:rFonts w:ascii="宋体" w:hAnsi="宋体" w:eastAsia="宋体" w:cs="宋体"/>
          <w:sz w:val="22"/>
        </w:rPr>
      </w:pPr>
      <w:r>
        <w:rPr>
          <w:rFonts w:hint="eastAsia" w:ascii="宋体" w:hAnsi="宋体" w:eastAsia="宋体" w:cs="宋体"/>
          <w:sz w:val="22"/>
        </w:rPr>
        <w:t>树立系统观念，运用系统思维，强化数字赋能、整体智治，把数字化贯穿到企业经营管理全过程和各方面，做好集团各种各类系统、应用的更新、转接、新立、废止等，推进集团核心业务和重大任务流程优化、协同高效，并主动对接全市国资系统、交通系统、组织系统等的数字化平台，搭建“数字交发”系统总体框架，构建“交发智慧大脑”数据中台，在办公管理数字化、经营管理数字化、建设管理数字化、企业发展和保障数字化等4个领域实现新的突破，初步形成集团科学决策、高效执行、有力监督、精准评价的整体智治体系，全方位融入全市数字化改革大局。</w:t>
      </w:r>
    </w:p>
    <w:p>
      <w:pPr>
        <w:ind w:firstLine="440" w:firstLineChars="200"/>
        <w:rPr>
          <w:rFonts w:ascii="宋体" w:hAnsi="宋体" w:eastAsia="宋体" w:cs="宋体"/>
          <w:sz w:val="22"/>
        </w:rPr>
      </w:pPr>
      <w:r>
        <w:rPr>
          <w:rFonts w:hint="eastAsia" w:ascii="宋体" w:hAnsi="宋体" w:eastAsia="宋体" w:cs="宋体"/>
          <w:sz w:val="22"/>
        </w:rPr>
        <w:t>建设业务管理中台和数据中台平台对交发集团数字化转型应用项目进行数字化管理本身就是数字化转型工作的内在要求，更是督促、推动数字化转型工作、节约资源、互联互通的强有力抓手。通过业务管理中台的建立，将所有业务部门的管理工作实现数字化转型，并通过数据中台的构建，实现全集团数据联动，数据互通，让数据在跑路，解放员工的双手。因此，应尽快将业务管理中台和数据中台落地，真正实现管理的数字化转型。</w:t>
      </w:r>
    </w:p>
    <w:p>
      <w:pPr>
        <w:ind w:firstLine="440" w:firstLineChars="200"/>
        <w:rPr>
          <w:rFonts w:ascii="宋体" w:hAnsi="宋体" w:eastAsia="宋体" w:cs="宋体"/>
          <w:bCs/>
          <w:sz w:val="22"/>
          <w:shd w:val="clear" w:color="auto" w:fill="FFFFFF"/>
        </w:rPr>
      </w:pPr>
    </w:p>
    <w:p>
      <w:pPr>
        <w:rPr>
          <w:rFonts w:ascii="宋体" w:hAnsi="宋体" w:eastAsia="宋体" w:cs="宋体"/>
          <w:b/>
          <w:sz w:val="22"/>
          <w:shd w:val="clear" w:color="auto" w:fill="FFFFFF"/>
        </w:rPr>
      </w:pPr>
      <w:r>
        <w:rPr>
          <w:rFonts w:hint="eastAsia" w:ascii="宋体" w:hAnsi="宋体" w:eastAsia="宋体" w:cs="宋体"/>
          <w:b/>
          <w:sz w:val="22"/>
          <w:shd w:val="clear" w:color="auto" w:fill="FFFFFF"/>
        </w:rPr>
        <w:t>四、项目范围</w:t>
      </w:r>
    </w:p>
    <w:tbl>
      <w:tblPr>
        <w:tblStyle w:val="22"/>
        <w:tblW w:w="8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7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tcPr>
          <w:p>
            <w:pPr>
              <w:pStyle w:val="13"/>
              <w:spacing w:line="240" w:lineRule="exact"/>
              <w:ind w:firstLine="0" w:firstLineChars="0"/>
              <w:jc w:val="center"/>
              <w:rPr>
                <w:rStyle w:val="56"/>
                <w:rFonts w:eastAsia="宋体" w:cs="宋体"/>
                <w:sz w:val="18"/>
                <w:szCs w:val="18"/>
              </w:rPr>
            </w:pPr>
            <w:r>
              <w:rPr>
                <w:rStyle w:val="56"/>
                <w:rFonts w:hint="eastAsia" w:eastAsia="宋体" w:cs="宋体"/>
                <w:sz w:val="18"/>
                <w:szCs w:val="18"/>
              </w:rPr>
              <w:t>类别</w:t>
            </w:r>
          </w:p>
        </w:tc>
        <w:tc>
          <w:tcPr>
            <w:tcW w:w="7035" w:type="dxa"/>
          </w:tcPr>
          <w:p>
            <w:pPr>
              <w:pStyle w:val="13"/>
              <w:spacing w:line="240" w:lineRule="exact"/>
              <w:ind w:firstLine="432" w:firstLineChars="240"/>
              <w:jc w:val="center"/>
              <w:rPr>
                <w:rStyle w:val="56"/>
                <w:rFonts w:eastAsia="宋体" w:cs="宋体"/>
                <w:sz w:val="18"/>
                <w:szCs w:val="18"/>
              </w:rPr>
            </w:pPr>
            <w:r>
              <w:rPr>
                <w:rStyle w:val="56"/>
                <w:rFonts w:hint="eastAsia" w:eastAsia="宋体" w:cs="宋体"/>
                <w:sz w:val="18"/>
                <w:szCs w:val="18"/>
              </w:rPr>
              <w:t>范围描述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323" w:type="dxa"/>
            <w:vAlign w:val="center"/>
          </w:tcPr>
          <w:p>
            <w:pPr>
              <w:pStyle w:val="13"/>
              <w:spacing w:line="240" w:lineRule="exact"/>
              <w:ind w:firstLine="0" w:firstLineChars="0"/>
              <w:jc w:val="center"/>
              <w:rPr>
                <w:rStyle w:val="56"/>
                <w:rFonts w:eastAsia="宋体" w:cs="宋体"/>
                <w:sz w:val="18"/>
                <w:szCs w:val="18"/>
              </w:rPr>
            </w:pPr>
            <w:r>
              <w:rPr>
                <w:rStyle w:val="56"/>
                <w:rFonts w:hint="eastAsia" w:eastAsia="宋体" w:cs="宋体"/>
                <w:sz w:val="18"/>
                <w:szCs w:val="18"/>
              </w:rPr>
              <w:t>实施范围</w:t>
            </w:r>
          </w:p>
        </w:tc>
        <w:tc>
          <w:tcPr>
            <w:tcW w:w="7035" w:type="dxa"/>
            <w:vAlign w:val="center"/>
          </w:tcPr>
          <w:p>
            <w:pPr>
              <w:pStyle w:val="13"/>
              <w:spacing w:line="240" w:lineRule="exact"/>
              <w:ind w:firstLine="0" w:firstLineChars="0"/>
              <w:rPr>
                <w:rStyle w:val="56"/>
                <w:rFonts w:eastAsia="宋体" w:cs="宋体"/>
                <w:sz w:val="18"/>
                <w:szCs w:val="18"/>
              </w:rPr>
            </w:pPr>
            <w:r>
              <w:rPr>
                <w:rStyle w:val="56"/>
                <w:rFonts w:hint="eastAsia" w:eastAsia="宋体" w:cs="宋体"/>
                <w:sz w:val="18"/>
                <w:szCs w:val="18"/>
              </w:rPr>
              <w:t>温州市交通发展集团有限公司总部</w:t>
            </w:r>
            <w:r>
              <w:rPr>
                <w:rFonts w:hint="eastAsia" w:eastAsia="宋体" w:cs="宋体"/>
                <w:sz w:val="18"/>
                <w:szCs w:val="18"/>
              </w:rPr>
              <w:t>及下属各级全资、控股子企业及各类独立核算的分支机构、事业单位，包括各单位的基建项目以及由甲方进行管理但没有产权关系的企业（温州大小门岛投资开发有限公司、温州市高速公路管理中心等）。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pStyle w:val="13"/>
              <w:spacing w:line="240" w:lineRule="exact"/>
              <w:ind w:firstLine="0" w:firstLineChars="0"/>
              <w:jc w:val="center"/>
              <w:rPr>
                <w:rStyle w:val="56"/>
                <w:rFonts w:eastAsia="宋体" w:cs="宋体"/>
                <w:sz w:val="18"/>
                <w:szCs w:val="18"/>
              </w:rPr>
            </w:pPr>
            <w:r>
              <w:rPr>
                <w:rStyle w:val="56"/>
                <w:rFonts w:hint="eastAsia" w:eastAsia="宋体" w:cs="宋体"/>
                <w:sz w:val="18"/>
                <w:szCs w:val="18"/>
              </w:rPr>
              <w:t>实施地点</w:t>
            </w:r>
          </w:p>
        </w:tc>
        <w:tc>
          <w:tcPr>
            <w:tcW w:w="7035" w:type="dxa"/>
            <w:vAlign w:val="center"/>
          </w:tcPr>
          <w:p>
            <w:pPr>
              <w:pStyle w:val="13"/>
              <w:spacing w:line="240" w:lineRule="exact"/>
              <w:ind w:firstLine="0" w:firstLineChars="0"/>
              <w:rPr>
                <w:rStyle w:val="56"/>
                <w:rFonts w:eastAsia="宋体" w:cs="宋体"/>
                <w:sz w:val="18"/>
                <w:szCs w:val="18"/>
              </w:rPr>
            </w:pPr>
            <w:r>
              <w:rPr>
                <w:rStyle w:val="56"/>
                <w:rFonts w:hint="eastAsia" w:eastAsia="宋体" w:cs="宋体"/>
                <w:sz w:val="18"/>
                <w:szCs w:val="18"/>
              </w:rPr>
              <w:t>温州市交通发展集团有限公司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tabs>
                <w:tab w:val="left" w:pos="-792"/>
                <w:tab w:val="left" w:pos="-612"/>
              </w:tabs>
              <w:autoSpaceDE w:val="0"/>
              <w:autoSpaceDN w:val="0"/>
              <w:adjustRightIn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功能模块范围</w:t>
            </w:r>
          </w:p>
        </w:tc>
        <w:tc>
          <w:tcPr>
            <w:tcW w:w="7035" w:type="dxa"/>
            <w:vAlign w:val="center"/>
          </w:tcPr>
          <w:p>
            <w:pPr>
              <w:tabs>
                <w:tab w:val="left" w:pos="-792"/>
                <w:tab w:val="left" w:pos="-612"/>
              </w:tabs>
              <w:autoSpaceDE w:val="0"/>
              <w:autoSpaceDN w:val="0"/>
              <w:adjustRightInd w:val="0"/>
              <w:spacing w:line="240" w:lineRule="exact"/>
              <w:jc w:val="left"/>
              <w:rPr>
                <w:rFonts w:ascii="宋体" w:hAnsi="宋体" w:eastAsia="宋体" w:cs="宋体"/>
                <w:sz w:val="18"/>
                <w:szCs w:val="18"/>
              </w:rPr>
            </w:pPr>
            <w:r>
              <w:rPr>
                <w:rFonts w:hint="eastAsia" w:ascii="宋体" w:hAnsi="宋体" w:eastAsia="宋体" w:cs="宋体"/>
                <w:sz w:val="18"/>
                <w:szCs w:val="18"/>
              </w:rPr>
              <w:t>政务云服务器、数据中台、综合性应用系统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tabs>
                <w:tab w:val="left" w:pos="-792"/>
                <w:tab w:val="left" w:pos="-612"/>
              </w:tabs>
              <w:autoSpaceDE w:val="0"/>
              <w:autoSpaceDN w:val="0"/>
              <w:adjustRightIn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业务范围</w:t>
            </w:r>
          </w:p>
        </w:tc>
        <w:tc>
          <w:tcPr>
            <w:tcW w:w="7035" w:type="dxa"/>
            <w:vAlign w:val="center"/>
          </w:tcPr>
          <w:p>
            <w:pPr>
              <w:tabs>
                <w:tab w:val="left" w:pos="-792"/>
                <w:tab w:val="left" w:pos="-612"/>
              </w:tabs>
              <w:autoSpaceDE w:val="0"/>
              <w:autoSpaceDN w:val="0"/>
              <w:adjustRightInd w:val="0"/>
              <w:spacing w:line="240" w:lineRule="exact"/>
              <w:jc w:val="left"/>
              <w:rPr>
                <w:rFonts w:ascii="宋体" w:hAnsi="宋体" w:eastAsia="宋体" w:cs="宋体"/>
                <w:sz w:val="18"/>
                <w:szCs w:val="18"/>
              </w:rPr>
            </w:pPr>
            <w:r>
              <w:rPr>
                <w:rFonts w:hint="eastAsia" w:ascii="宋体" w:hAnsi="宋体" w:eastAsia="宋体" w:cs="宋体"/>
                <w:sz w:val="18"/>
                <w:szCs w:val="18"/>
              </w:rPr>
              <w:t>实现交发集团数字化平台建设的需求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3" w:type="dxa"/>
            <w:vAlign w:val="center"/>
          </w:tcPr>
          <w:p>
            <w:pPr>
              <w:autoSpaceDE w:val="0"/>
              <w:autoSpaceDN w:val="0"/>
              <w:adjustRightIn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集成范围</w:t>
            </w:r>
          </w:p>
        </w:tc>
        <w:tc>
          <w:tcPr>
            <w:tcW w:w="7035"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系统建设必须遵照新和成统一的数据规范和管理规范，不仅要考虑系统的完整实现，还要考虑企业现有系统与之相关业务的无缝集成能力。</w:t>
            </w:r>
          </w:p>
          <w:p>
            <w:pPr>
              <w:spacing w:line="240" w:lineRule="exact"/>
              <w:rPr>
                <w:rFonts w:ascii="宋体" w:hAnsi="宋体" w:eastAsia="宋体" w:cs="宋体"/>
                <w:sz w:val="18"/>
                <w:szCs w:val="18"/>
              </w:rPr>
            </w:pPr>
            <w:r>
              <w:rPr>
                <w:rFonts w:hint="eastAsia" w:ascii="宋体" w:hAnsi="宋体" w:eastAsia="宋体" w:cs="宋体"/>
                <w:sz w:val="18"/>
                <w:szCs w:val="18"/>
              </w:rPr>
              <w:t>（1）与人力资源系统集成，抓取HR系统中的主数据；</w:t>
            </w:r>
          </w:p>
          <w:p>
            <w:pPr>
              <w:spacing w:line="240" w:lineRule="exact"/>
              <w:rPr>
                <w:rFonts w:ascii="宋体" w:hAnsi="宋体" w:eastAsia="宋体" w:cs="宋体"/>
                <w:sz w:val="18"/>
                <w:szCs w:val="18"/>
              </w:rPr>
            </w:pPr>
            <w:r>
              <w:rPr>
                <w:rFonts w:hint="eastAsia" w:ascii="宋体" w:hAnsi="宋体" w:eastAsia="宋体" w:cs="宋体"/>
                <w:sz w:val="18"/>
                <w:szCs w:val="18"/>
              </w:rPr>
              <w:t>（2）支持将待办消息推送至钉钉，实现钉钉内点击处理；</w:t>
            </w:r>
          </w:p>
          <w:p>
            <w:pPr>
              <w:spacing w:line="240" w:lineRule="exact"/>
              <w:rPr>
                <w:rFonts w:ascii="宋体" w:hAnsi="宋体" w:eastAsia="宋体" w:cs="宋体"/>
                <w:sz w:val="18"/>
                <w:szCs w:val="18"/>
              </w:rPr>
            </w:pPr>
            <w:r>
              <w:rPr>
                <w:rFonts w:hint="eastAsia" w:ascii="宋体" w:hAnsi="宋体" w:eastAsia="宋体" w:cs="宋体"/>
                <w:sz w:val="18"/>
                <w:szCs w:val="18"/>
              </w:rPr>
              <w:t>（3）与水库综合管理平台对接，抓取实时数据；</w:t>
            </w:r>
          </w:p>
          <w:p>
            <w:pPr>
              <w:spacing w:line="240" w:lineRule="exact"/>
              <w:rPr>
                <w:rFonts w:ascii="宋体" w:hAnsi="宋体" w:eastAsia="宋体" w:cs="宋体"/>
                <w:sz w:val="18"/>
                <w:szCs w:val="18"/>
              </w:rPr>
            </w:pPr>
            <w:r>
              <w:rPr>
                <w:rFonts w:hint="eastAsia" w:ascii="宋体" w:hAnsi="宋体" w:eastAsia="宋体" w:cs="宋体"/>
                <w:sz w:val="18"/>
                <w:szCs w:val="18"/>
              </w:rPr>
              <w:t>（4）与浪潮财务系统对接，实现审核后自动生成凭证，并推送至财务系统中；</w:t>
            </w:r>
          </w:p>
          <w:p>
            <w:pPr>
              <w:spacing w:line="240" w:lineRule="exact"/>
              <w:rPr>
                <w:rFonts w:ascii="宋体" w:hAnsi="宋体" w:eastAsia="宋体" w:cs="宋体"/>
                <w:sz w:val="18"/>
                <w:szCs w:val="18"/>
              </w:rPr>
            </w:pPr>
            <w:r>
              <w:rPr>
                <w:rFonts w:hint="eastAsia" w:ascii="宋体" w:hAnsi="宋体" w:eastAsia="宋体" w:cs="宋体"/>
                <w:sz w:val="18"/>
                <w:szCs w:val="18"/>
              </w:rPr>
              <w:t>（5）与资金系统对接，实现对公支付、自动获取银行对账单等；</w:t>
            </w:r>
          </w:p>
          <w:p>
            <w:pPr>
              <w:spacing w:line="240" w:lineRule="exact"/>
              <w:rPr>
                <w:rFonts w:ascii="宋体" w:hAnsi="宋体" w:eastAsia="宋体" w:cs="宋体"/>
                <w:sz w:val="18"/>
                <w:szCs w:val="18"/>
              </w:rPr>
            </w:pPr>
            <w:r>
              <w:rPr>
                <w:rFonts w:hint="eastAsia" w:ascii="宋体" w:hAnsi="宋体" w:eastAsia="宋体" w:cs="宋体"/>
                <w:sz w:val="18"/>
                <w:szCs w:val="18"/>
              </w:rPr>
              <w:t>（6）与高速管理系统对接，实时呈现车流量、监控等；</w:t>
            </w:r>
          </w:p>
          <w:p>
            <w:pPr>
              <w:spacing w:line="240" w:lineRule="exact"/>
              <w:rPr>
                <w:rFonts w:ascii="宋体" w:hAnsi="宋体" w:eastAsia="宋体" w:cs="宋体"/>
                <w:sz w:val="18"/>
                <w:szCs w:val="18"/>
              </w:rPr>
            </w:pPr>
            <w:r>
              <w:rPr>
                <w:rFonts w:hint="eastAsia" w:ascii="宋体" w:hAnsi="宋体" w:eastAsia="宋体" w:cs="宋体"/>
                <w:sz w:val="18"/>
                <w:szCs w:val="18"/>
              </w:rPr>
              <w:t>（7）与项目管理系统对接，便于查询历史数据；</w:t>
            </w:r>
          </w:p>
          <w:p>
            <w:pPr>
              <w:spacing w:line="240" w:lineRule="exact"/>
              <w:rPr>
                <w:rFonts w:ascii="宋体" w:hAnsi="宋体" w:eastAsia="宋体" w:cs="宋体"/>
                <w:sz w:val="18"/>
                <w:szCs w:val="18"/>
              </w:rPr>
            </w:pPr>
            <w:r>
              <w:rPr>
                <w:rFonts w:hint="eastAsia" w:ascii="宋体" w:hAnsi="宋体" w:eastAsia="宋体" w:cs="宋体"/>
                <w:sz w:val="18"/>
                <w:szCs w:val="18"/>
              </w:rPr>
              <w:t>（8）与高速公路监测系统对接，能实时展示桥梁、隧道、边坡等重点部位的监测数据；</w:t>
            </w:r>
          </w:p>
          <w:p>
            <w:pPr>
              <w:spacing w:line="240" w:lineRule="exact"/>
              <w:rPr>
                <w:rFonts w:ascii="宋体" w:hAnsi="宋体" w:eastAsia="宋体" w:cs="宋体"/>
                <w:sz w:val="18"/>
                <w:szCs w:val="18"/>
              </w:rPr>
            </w:pPr>
            <w:r>
              <w:rPr>
                <w:rFonts w:hint="eastAsia" w:ascii="宋体" w:hAnsi="宋体" w:eastAsia="宋体" w:cs="宋体"/>
                <w:sz w:val="18"/>
                <w:szCs w:val="18"/>
              </w:rPr>
              <w:t>（9）提供标准化的项目数据接口，便于与其他系统集成。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autoSpaceDE w:val="0"/>
              <w:autoSpaceDN w:val="0"/>
              <w:adjustRightIn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技术要求</w:t>
            </w:r>
          </w:p>
        </w:tc>
        <w:tc>
          <w:tcPr>
            <w:tcW w:w="7035" w:type="dxa"/>
            <w:vAlign w:val="center"/>
          </w:tcPr>
          <w:p>
            <w:pPr>
              <w:spacing w:line="240" w:lineRule="exact"/>
              <w:ind w:right="42" w:rightChars="20"/>
              <w:rPr>
                <w:rFonts w:ascii="宋体" w:hAnsi="宋体" w:eastAsia="宋体" w:cs="宋体"/>
                <w:b/>
                <w:bCs/>
                <w:sz w:val="18"/>
                <w:szCs w:val="18"/>
              </w:rPr>
            </w:pPr>
            <w:r>
              <w:rPr>
                <w:rFonts w:hint="eastAsia" w:ascii="宋体" w:hAnsi="宋体" w:eastAsia="宋体" w:cs="宋体"/>
                <w:b/>
                <w:bCs/>
                <w:sz w:val="18"/>
                <w:szCs w:val="18"/>
              </w:rPr>
              <w:t>方案设计技术要求</w:t>
            </w:r>
          </w:p>
          <w:p>
            <w:pPr>
              <w:numPr>
                <w:ilvl w:val="0"/>
                <w:numId w:val="30"/>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先进性、成熟性:系统采用的技术和语言必须体现一定的先进性，代表主流软件的发展方向；系统的架构设计必须先进，如体现最新的SOA架构方向。</w:t>
            </w:r>
          </w:p>
          <w:p>
            <w:pPr>
              <w:numPr>
                <w:ilvl w:val="0"/>
                <w:numId w:val="30"/>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实用性、易用性和易维护性:软件要易学、易操作、提示清晰、帮助丰富。便于维护和管理，有利于故障跟踪、检查和排除。</w:t>
            </w:r>
          </w:p>
          <w:p>
            <w:pPr>
              <w:numPr>
                <w:ilvl w:val="0"/>
                <w:numId w:val="30"/>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在功能方面能够根据实际业务的需求提供全面的应用模块，能与其他应用系统有机集成和连接进行定制开发，最大限度地减低因业务需求变化或系统运行环境变化产生的系统维护代价。能方便地进行新模块的扩充和添加，以便新功能的扩展,支持移动办公功能。</w:t>
            </w:r>
          </w:p>
          <w:p>
            <w:pPr>
              <w:numPr>
                <w:ilvl w:val="0"/>
                <w:numId w:val="30"/>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灵活性、兼容性、可扩展性:可按要求任意组合操作的内容和权限；可组合各种所需的查询数据，并以希望的形式打印出来和保存。支持各种打印界面的设计。支持各种流程的自定义和设计。</w:t>
            </w:r>
          </w:p>
          <w:p>
            <w:pPr>
              <w:numPr>
                <w:ilvl w:val="0"/>
                <w:numId w:val="30"/>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安全性可靠性：系统设计应符合国家有关安全保密规定，充分保障信息数据的安全。整个系统的设计应按照连续7*24小时不间断工作的要求设计。应保证数据不被非法盗用和修改，不因意外情况丢失和损坏，保证数据的一致性。提供完善、可靠、灵活的分级分权管理控制机制，确保数据的安全性和保密性；具有身份验证、权限管理、细分系统访问权限。支持使用USB设备等多种认证方式进行安全控制。对非法登录或系统故障等能采取多种检查和处理手段；采用故障检查、告警和处理机制。</w:t>
            </w:r>
          </w:p>
          <w:p>
            <w:pPr>
              <w:numPr>
                <w:ilvl w:val="0"/>
                <w:numId w:val="30"/>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规范性：软件实施过程各阶段技术文档齐全，用户手册文档与实际系统严格一致。系统试运行期间，问题反馈机制健全，有详细的问题记录和问题解决办法。各个页面的连接、页面的结构、页面的菜单，页面的显示的风格一致。协同办公的流程规范应严格按照统一的流程书写规范。</w:t>
            </w:r>
          </w:p>
          <w:p>
            <w:pPr>
              <w:numPr>
                <w:ilvl w:val="0"/>
                <w:numId w:val="30"/>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开放性：系统应提供功能强大的数据接口，轻松实现各种导入导出，并能与外部系统无缝集成。采用开放技术支持标准协议，具有高可管理性和扩充方便与外部系统集成。对所有主流关系型数据库管理统及各种格式类的文档可移植性。</w:t>
            </w:r>
          </w:p>
          <w:p>
            <w:pPr>
              <w:spacing w:line="240" w:lineRule="exact"/>
              <w:ind w:right="42" w:rightChars="20"/>
              <w:rPr>
                <w:rFonts w:ascii="宋体" w:hAnsi="宋体" w:eastAsia="宋体" w:cs="宋体"/>
                <w:b/>
                <w:bCs/>
                <w:sz w:val="18"/>
                <w:szCs w:val="18"/>
              </w:rPr>
            </w:pPr>
            <w:r>
              <w:rPr>
                <w:rFonts w:hint="eastAsia" w:ascii="宋体" w:hAnsi="宋体" w:eastAsia="宋体" w:cs="宋体"/>
                <w:b/>
                <w:bCs/>
                <w:sz w:val="18"/>
                <w:szCs w:val="18"/>
              </w:rPr>
              <w:t>其他技术要求</w:t>
            </w:r>
          </w:p>
          <w:p>
            <w:pPr>
              <w:numPr>
                <w:ilvl w:val="0"/>
                <w:numId w:val="31"/>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系统必须支持通过SSL、VPN安全要求的WEB访问；</w:t>
            </w:r>
          </w:p>
          <w:p>
            <w:pPr>
              <w:numPr>
                <w:ilvl w:val="0"/>
                <w:numId w:val="31"/>
              </w:numPr>
              <w:spacing w:line="240" w:lineRule="exact"/>
              <w:ind w:right="42" w:rightChars="20"/>
              <w:rPr>
                <w:rFonts w:ascii="宋体" w:hAnsi="宋体" w:eastAsia="宋体" w:cs="宋体"/>
                <w:sz w:val="18"/>
                <w:szCs w:val="18"/>
              </w:rPr>
            </w:pPr>
            <w:r>
              <w:rPr>
                <w:rFonts w:hint="eastAsia" w:ascii="宋体" w:hAnsi="宋体" w:eastAsia="宋体" w:cs="宋体"/>
                <w:sz w:val="18"/>
                <w:szCs w:val="18"/>
              </w:rPr>
              <w:t>系统应提供符合中文使用习惯的操作界面，所有与用户相关的信息都必须用中文显示。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autoSpaceDE w:val="0"/>
              <w:autoSpaceDN w:val="0"/>
              <w:adjustRightIn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培训对象人员及培训要求</w:t>
            </w:r>
          </w:p>
        </w:tc>
        <w:tc>
          <w:tcPr>
            <w:tcW w:w="7035" w:type="dxa"/>
            <w:vAlign w:val="center"/>
          </w:tcPr>
          <w:p>
            <w:pPr>
              <w:spacing w:line="240" w:lineRule="exact"/>
              <w:ind w:right="42" w:rightChars="20"/>
              <w:rPr>
                <w:rFonts w:ascii="宋体" w:hAnsi="宋体" w:eastAsia="宋体" w:cs="宋体"/>
                <w:sz w:val="18"/>
                <w:szCs w:val="18"/>
              </w:rPr>
            </w:pPr>
            <w:r>
              <w:rPr>
                <w:rFonts w:hint="eastAsia" w:ascii="宋体" w:hAnsi="宋体" w:eastAsia="宋体" w:cs="宋体"/>
                <w:sz w:val="18"/>
                <w:szCs w:val="18"/>
              </w:rPr>
              <w:t>各级系统管理员、业务经办人员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autoSpaceDE w:val="0"/>
              <w:autoSpaceDN w:val="0"/>
              <w:adjustRightIn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安装调试要求及售后服务要求</w:t>
            </w:r>
          </w:p>
        </w:tc>
        <w:tc>
          <w:tcPr>
            <w:tcW w:w="7035" w:type="dxa"/>
            <w:vAlign w:val="center"/>
          </w:tcPr>
          <w:p>
            <w:pPr>
              <w:spacing w:line="240" w:lineRule="exact"/>
              <w:ind w:right="42" w:rightChars="20"/>
              <w:rPr>
                <w:rFonts w:hint="eastAsia" w:ascii="宋体" w:hAnsi="宋体" w:eastAsia="宋体" w:cs="宋体"/>
                <w:kern w:val="0"/>
                <w:sz w:val="18"/>
                <w:szCs w:val="18"/>
                <w:lang w:eastAsia="zh-CN"/>
              </w:rPr>
            </w:pPr>
            <w:r>
              <w:rPr>
                <w:rFonts w:hint="eastAsia" w:ascii="宋体" w:hAnsi="宋体" w:eastAsia="宋体" w:cs="宋体"/>
                <w:kern w:val="0"/>
                <w:sz w:val="18"/>
                <w:szCs w:val="18"/>
              </w:rPr>
              <w:t>1、售后服务期间需根据采购人的网络安全要求（如漏洞扫描结果）不断完善系统</w:t>
            </w:r>
            <w:r>
              <w:rPr>
                <w:rFonts w:hint="eastAsia" w:ascii="宋体" w:hAnsi="宋体" w:eastAsia="宋体" w:cs="宋体"/>
                <w:kern w:val="0"/>
                <w:sz w:val="18"/>
                <w:szCs w:val="18"/>
                <w:lang w:eastAsia="zh-CN"/>
              </w:rPr>
              <w:t>。</w:t>
            </w:r>
          </w:p>
          <w:p>
            <w:pPr>
              <w:spacing w:line="240" w:lineRule="exact"/>
              <w:ind w:right="42" w:rightChars="20"/>
              <w:rPr>
                <w:rFonts w:hint="eastAsia" w:ascii="宋体" w:hAnsi="宋体" w:eastAsia="宋体" w:cs="宋体"/>
                <w:kern w:val="0"/>
                <w:sz w:val="18"/>
                <w:szCs w:val="18"/>
              </w:rPr>
            </w:pPr>
            <w:r>
              <w:rPr>
                <w:rFonts w:hint="eastAsia" w:ascii="宋体" w:hAnsi="宋体" w:eastAsia="宋体" w:cs="宋体"/>
                <w:kern w:val="0"/>
                <w:sz w:val="18"/>
                <w:szCs w:val="18"/>
              </w:rPr>
              <w:t>2、</w:t>
            </w:r>
            <w:r>
              <w:rPr>
                <w:rFonts w:hint="eastAsia" w:ascii="宋体" w:hAnsi="宋体" w:eastAsia="宋体" w:cs="宋体"/>
                <w:b/>
                <w:bCs/>
                <w:sz w:val="18"/>
                <w:szCs w:val="18"/>
              </w:rPr>
              <w:t>供应商应有足够的经验和能力应对用户可能提出的功能完善要求，不论是否需在试运行期进行完善，都不能计算为新增需求。</w:t>
            </w:r>
          </w:p>
          <w:p>
            <w:pPr>
              <w:spacing w:line="240" w:lineRule="exact"/>
              <w:ind w:right="42" w:rightChars="20"/>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u w:val="single"/>
              </w:rPr>
              <w:t>▲</w:t>
            </w:r>
            <w:r>
              <w:rPr>
                <w:rFonts w:hint="eastAsia" w:ascii="宋体" w:hAnsi="宋体" w:eastAsia="宋体" w:cs="宋体"/>
                <w:b/>
                <w:bCs/>
                <w:sz w:val="18"/>
                <w:szCs w:val="18"/>
                <w:u w:val="single"/>
              </w:rPr>
              <w:t>项目验收后至少配备</w:t>
            </w:r>
            <w:r>
              <w:rPr>
                <w:rFonts w:ascii="宋体" w:hAnsi="宋体" w:eastAsia="宋体" w:cs="宋体"/>
                <w:b/>
                <w:bCs/>
                <w:sz w:val="18"/>
                <w:szCs w:val="18"/>
                <w:u w:val="single"/>
              </w:rPr>
              <w:t>1名参加过本系统建设的技术人员，在办公时间内常驻在采购人指定的办公场地至少1年，以保证系统的稳定运行和适应新业务的开展</w:t>
            </w:r>
            <w:r>
              <w:rPr>
                <w:rFonts w:ascii="宋体" w:hAnsi="宋体" w:eastAsia="宋体" w:cs="宋体"/>
                <w:b/>
                <w:bCs/>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autoSpaceDE w:val="0"/>
              <w:autoSpaceDN w:val="0"/>
              <w:adjustRightIn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免费维护期</w:t>
            </w:r>
          </w:p>
        </w:tc>
        <w:tc>
          <w:tcPr>
            <w:tcW w:w="7035" w:type="dxa"/>
            <w:vAlign w:val="center"/>
          </w:tcPr>
          <w:p>
            <w:pPr>
              <w:spacing w:line="240" w:lineRule="exact"/>
              <w:ind w:right="42" w:rightChars="20"/>
              <w:rPr>
                <w:rFonts w:ascii="宋体" w:hAnsi="宋体" w:eastAsia="宋体" w:cs="宋体"/>
                <w:sz w:val="18"/>
                <w:szCs w:val="18"/>
              </w:rPr>
            </w:pPr>
            <w:r>
              <w:rPr>
                <w:rFonts w:hint="eastAsia" w:ascii="宋体" w:hAnsi="宋体" w:eastAsia="宋体" w:cs="宋体"/>
                <w:kern w:val="0"/>
                <w:sz w:val="18"/>
                <w:szCs w:val="18"/>
                <w:u w:val="single"/>
              </w:rPr>
              <w:t>▲提供系统整体验收之日起至少3年免费售后维护服务</w:t>
            </w:r>
            <w:r>
              <w:rPr>
                <w:rFonts w:hint="eastAsia" w:ascii="宋体" w:hAnsi="宋体" w:eastAsia="宋体" w:cs="宋体"/>
                <w:sz w:val="18"/>
                <w:szCs w:val="18"/>
                <w:u w:val="singl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323" w:type="dxa"/>
            <w:vAlign w:val="center"/>
          </w:tcPr>
          <w:p>
            <w:pPr>
              <w:autoSpaceDE w:val="0"/>
              <w:autoSpaceDN w:val="0"/>
              <w:adjustRightInd w:val="0"/>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完成期限</w:t>
            </w:r>
          </w:p>
        </w:tc>
        <w:tc>
          <w:tcPr>
            <w:tcW w:w="7035" w:type="dxa"/>
            <w:vAlign w:val="center"/>
          </w:tcPr>
          <w:p>
            <w:pPr>
              <w:spacing w:line="240" w:lineRule="exact"/>
              <w:ind w:right="42" w:rightChars="20"/>
              <w:rPr>
                <w:rFonts w:hint="eastAsia" w:ascii="宋体" w:hAnsi="宋体" w:eastAsia="宋体" w:cs="宋体"/>
                <w:b/>
                <w:bCs/>
                <w:sz w:val="18"/>
                <w:szCs w:val="18"/>
                <w:lang w:eastAsia="zh-CN"/>
              </w:rPr>
            </w:pPr>
            <w:r>
              <w:rPr>
                <w:rFonts w:hint="eastAsia" w:ascii="宋体" w:hAnsi="宋体" w:eastAsia="宋体" w:cs="宋体"/>
                <w:b/>
                <w:bCs/>
                <w:sz w:val="18"/>
                <w:szCs w:val="18"/>
              </w:rPr>
              <w:t>合同签定后10个月为开发实施期，中标人需在合同签定后15个工作日内进场实施，在工期内完成系统的实施开发、培训及试运行上线</w:t>
            </w:r>
            <w:r>
              <w:rPr>
                <w:rFonts w:hint="eastAsia" w:ascii="宋体" w:hAnsi="宋体" w:eastAsia="宋体" w:cs="宋体"/>
                <w:b/>
                <w:bCs/>
                <w:sz w:val="18"/>
                <w:szCs w:val="18"/>
                <w:lang w:eastAsia="zh-CN"/>
              </w:rPr>
              <w:t>。</w:t>
            </w:r>
          </w:p>
          <w:p>
            <w:pPr>
              <w:spacing w:line="240" w:lineRule="exact"/>
              <w:ind w:right="42" w:rightChars="20"/>
              <w:rPr>
                <w:rFonts w:ascii="宋体" w:hAnsi="宋体" w:eastAsia="宋体" w:cs="宋体"/>
                <w:b/>
                <w:bCs/>
                <w:sz w:val="18"/>
                <w:szCs w:val="18"/>
              </w:rPr>
            </w:pPr>
            <w:r>
              <w:rPr>
                <w:rFonts w:hint="eastAsia" w:ascii="宋体" w:hAnsi="宋体" w:eastAsia="宋体" w:cs="宋体"/>
                <w:b/>
                <w:bCs/>
                <w:sz w:val="18"/>
                <w:szCs w:val="18"/>
              </w:rPr>
              <w:t>系统开发过程中需要中标方派遣技术人员在采购方公司设立驻点，方便联系沟通。</w:t>
            </w:r>
          </w:p>
        </w:tc>
      </w:tr>
    </w:tbl>
    <w:p>
      <w:pPr>
        <w:rPr>
          <w:rFonts w:ascii="宋体" w:hAnsi="宋体" w:eastAsia="宋体" w:cs="宋体"/>
          <w:sz w:val="22"/>
        </w:rPr>
      </w:pPr>
    </w:p>
    <w:p>
      <w:pPr>
        <w:pStyle w:val="5"/>
        <w:spacing w:before="120"/>
        <w:jc w:val="left"/>
        <w:rPr>
          <w:rFonts w:ascii="宋体" w:hAnsi="宋体" w:eastAsia="宋体" w:cs="宋体"/>
          <w:szCs w:val="21"/>
        </w:rPr>
      </w:pPr>
      <w:r>
        <w:rPr>
          <w:rFonts w:hint="eastAsia" w:ascii="宋体" w:hAnsi="宋体" w:eastAsia="宋体" w:cs="宋体"/>
          <w:szCs w:val="21"/>
        </w:rPr>
        <w:t>三、业务需求：</w:t>
      </w:r>
    </w:p>
    <w:p>
      <w:pPr>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kern w:val="0"/>
          <w:szCs w:val="21"/>
        </w:rPr>
        <w:t>数据中台底座建设</w:t>
      </w:r>
    </w:p>
    <w:tbl>
      <w:tblPr>
        <w:tblStyle w:val="22"/>
        <w:tblW w:w="8776" w:type="dxa"/>
        <w:jc w:val="center"/>
        <w:tblLayout w:type="autofit"/>
        <w:tblCellMar>
          <w:top w:w="0" w:type="dxa"/>
          <w:left w:w="108" w:type="dxa"/>
          <w:bottom w:w="0" w:type="dxa"/>
          <w:right w:w="108" w:type="dxa"/>
        </w:tblCellMar>
      </w:tblPr>
      <w:tblGrid>
        <w:gridCol w:w="485"/>
        <w:gridCol w:w="579"/>
        <w:gridCol w:w="972"/>
        <w:gridCol w:w="5510"/>
        <w:gridCol w:w="1230"/>
      </w:tblGrid>
      <w:tr>
        <w:tblPrEx>
          <w:tblCellMar>
            <w:top w:w="0" w:type="dxa"/>
            <w:left w:w="108" w:type="dxa"/>
            <w:bottom w:w="0" w:type="dxa"/>
            <w:right w:w="108" w:type="dxa"/>
          </w:tblCellMar>
        </w:tblPrEx>
        <w:trPr>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55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模块</w:t>
            </w:r>
          </w:p>
        </w:tc>
        <w:tc>
          <w:tcPr>
            <w:tcW w:w="5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业务需求点</w:t>
            </w:r>
          </w:p>
        </w:tc>
        <w:tc>
          <w:tcPr>
            <w:tcW w:w="1230" w:type="dxa"/>
            <w:tcBorders>
              <w:top w:val="single" w:color="auto" w:sz="4" w:space="0"/>
              <w:left w:val="nil"/>
              <w:bottom w:val="single" w:color="auto" w:sz="4" w:space="0"/>
              <w:right w:val="single" w:color="auto" w:sz="4" w:space="0"/>
            </w:tcBorders>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CellMar>
            <w:top w:w="0" w:type="dxa"/>
            <w:left w:w="108" w:type="dxa"/>
            <w:bottom w:w="0" w:type="dxa"/>
            <w:right w:w="108" w:type="dxa"/>
          </w:tblCellMar>
        </w:tblPrEx>
        <w:trPr>
          <w:trHeight w:val="23" w:hRule="atLeast"/>
          <w:jc w:val="center"/>
        </w:trPr>
        <w:tc>
          <w:tcPr>
            <w:tcW w:w="485"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7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数据中台底座</w:t>
            </w:r>
          </w:p>
        </w:tc>
        <w:tc>
          <w:tcPr>
            <w:tcW w:w="9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目录与资源管理</w:t>
            </w:r>
          </w:p>
        </w:tc>
        <w:tc>
          <w:tcPr>
            <w:tcW w:w="5510" w:type="dxa"/>
            <w:tcBorders>
              <w:top w:val="nil"/>
              <w:left w:val="nil"/>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根据国家、省份、地方对数据资源的制度规范和管理要求，梳理并打造一套由全景视图和标准规范2部分组成的交通数据资源管理体系，通过信息资源与数据模型表的关联绑定，实现数据源、元数据的统一管理和维护，帮助用户直观了解数据资产覆盖情况；通过标准规范为用户提供标准化管理数据的约束和参考，辅助集团更好地管控和应用数据资产。</w:t>
            </w:r>
          </w:p>
        </w:tc>
        <w:tc>
          <w:tcPr>
            <w:tcW w:w="1230" w:type="dxa"/>
            <w:tcBorders>
              <w:top w:val="nil"/>
              <w:left w:val="nil"/>
              <w:bottom w:val="single" w:color="auto" w:sz="4" w:space="0"/>
              <w:right w:val="single" w:color="auto" w:sz="4" w:space="0"/>
            </w:tcBorders>
          </w:tcPr>
          <w:p>
            <w:pPr>
              <w:widowControl/>
              <w:spacing w:line="240" w:lineRule="exact"/>
              <w:ind w:firstLine="360" w:firstLineChars="20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485" w:type="dxa"/>
            <w:vMerge w:val="continue"/>
            <w:tcBorders>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p>
        </w:tc>
        <w:tc>
          <w:tcPr>
            <w:tcW w:w="579" w:type="dxa"/>
            <w:vMerge w:val="continue"/>
            <w:tcBorders>
              <w:left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9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数据采集整合系统</w:t>
            </w:r>
          </w:p>
        </w:tc>
        <w:tc>
          <w:tcPr>
            <w:tcW w:w="5510" w:type="dxa"/>
            <w:tcBorders>
              <w:top w:val="nil"/>
              <w:left w:val="nil"/>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数据采集交换可实现不同数据源、不同数据采集方式的数据接入与整合，根据数据实际情况，采用ETL工具、WebService接口、标准/定制协议、标准/定制接口、空间数据采集工具等不同交换策略，将不同数据源、不同类型、不同体量的数据进行收集，并将数据进行有效清洗转换。</w:t>
            </w:r>
          </w:p>
        </w:tc>
        <w:tc>
          <w:tcPr>
            <w:tcW w:w="1230" w:type="dxa"/>
            <w:tcBorders>
              <w:top w:val="nil"/>
              <w:left w:val="nil"/>
              <w:bottom w:val="single" w:color="auto" w:sz="4" w:space="0"/>
              <w:right w:val="single" w:color="auto" w:sz="4" w:space="0"/>
            </w:tcBorders>
          </w:tcPr>
          <w:p>
            <w:pPr>
              <w:widowControl/>
              <w:spacing w:line="240" w:lineRule="exact"/>
              <w:ind w:firstLine="360" w:firstLineChars="20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485" w:type="dxa"/>
            <w:vMerge w:val="continue"/>
            <w:tcBorders>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p>
        </w:tc>
        <w:tc>
          <w:tcPr>
            <w:tcW w:w="579" w:type="dxa"/>
            <w:vMerge w:val="continue"/>
            <w:tcBorders>
              <w:left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9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数据交换共享系统</w:t>
            </w:r>
          </w:p>
        </w:tc>
        <w:tc>
          <w:tcPr>
            <w:tcW w:w="5510" w:type="dxa"/>
            <w:tcBorders>
              <w:top w:val="nil"/>
              <w:left w:val="nil"/>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统一对全集团的数据存储、交换链路、数据使用权限进行管理。减少多级审批、多部门沟通的情况，提高数据共享效率及数据安全性。</w:t>
            </w:r>
          </w:p>
        </w:tc>
        <w:tc>
          <w:tcPr>
            <w:tcW w:w="1230" w:type="dxa"/>
            <w:tcBorders>
              <w:top w:val="nil"/>
              <w:left w:val="nil"/>
              <w:bottom w:val="single" w:color="auto" w:sz="4" w:space="0"/>
              <w:right w:val="single" w:color="auto" w:sz="4" w:space="0"/>
            </w:tcBorders>
          </w:tcPr>
          <w:p>
            <w:pPr>
              <w:widowControl/>
              <w:spacing w:line="240" w:lineRule="exact"/>
              <w:ind w:firstLine="360" w:firstLineChars="20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988" w:hRule="atLeast"/>
          <w:jc w:val="center"/>
        </w:trPr>
        <w:tc>
          <w:tcPr>
            <w:tcW w:w="485"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p>
        </w:tc>
        <w:tc>
          <w:tcPr>
            <w:tcW w:w="579" w:type="dxa"/>
            <w:vMerge w:val="continue"/>
            <w:tcBorders>
              <w:left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9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数据治理系统</w:t>
            </w:r>
          </w:p>
        </w:tc>
        <w:tc>
          <w:tcPr>
            <w:tcW w:w="5510" w:type="dxa"/>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数据治理（数据质量进行审计）指依据标准代码和业务逻辑校验规则，对数据质量进行审计，发现数据问题（主要是数据的不完整、不正确以及重复数据），并在数据进入模型层时做数据清洗转换，保证数据的完整性、一致性、准确性以及及时性</w:t>
            </w:r>
          </w:p>
        </w:tc>
        <w:tc>
          <w:tcPr>
            <w:tcW w:w="1230" w:type="dxa"/>
            <w:tcBorders>
              <w:top w:val="single" w:color="auto" w:sz="4" w:space="0"/>
              <w:left w:val="nil"/>
              <w:bottom w:val="single" w:color="auto" w:sz="4" w:space="0"/>
              <w:right w:val="single" w:color="auto" w:sz="4" w:space="0"/>
            </w:tcBorders>
          </w:tcPr>
          <w:p>
            <w:pPr>
              <w:widowControl/>
              <w:spacing w:line="240" w:lineRule="exact"/>
              <w:ind w:firstLine="360" w:firstLineChars="20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01" w:hRule="atLeast"/>
          <w:jc w:val="center"/>
        </w:trPr>
        <w:tc>
          <w:tcPr>
            <w:tcW w:w="485"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p>
        </w:tc>
        <w:tc>
          <w:tcPr>
            <w:tcW w:w="57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97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数据实施</w:t>
            </w:r>
          </w:p>
        </w:tc>
        <w:tc>
          <w:tcPr>
            <w:tcW w:w="5510" w:type="dxa"/>
            <w:tcBorders>
              <w:top w:val="single" w:color="auto" w:sz="4" w:space="0"/>
              <w:left w:val="nil"/>
              <w:bottom w:val="single" w:color="auto" w:sz="4" w:space="0"/>
              <w:right w:val="single" w:color="auto" w:sz="4" w:space="0"/>
            </w:tcBorders>
            <w:vAlign w:val="center"/>
          </w:tcPr>
          <w:p>
            <w:pPr>
              <w:pStyle w:val="2"/>
              <w:ind w:firstLine="360" w:firstLineChars="200"/>
              <w:rPr>
                <w:rFonts w:ascii="宋体" w:hAnsi="宋体" w:eastAsia="宋体" w:cs="宋体"/>
                <w:kern w:val="0"/>
                <w:sz w:val="18"/>
                <w:szCs w:val="18"/>
              </w:rPr>
            </w:pPr>
          </w:p>
          <w:p>
            <w:pPr>
              <w:spacing w:line="240" w:lineRule="exact"/>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利用数据采集整合系统采集人力资源系统、水库综合管理平台对接、浪潮财务系统、资金系统、高速管理系统、项目管理系统、高速公路监测系统</w:t>
            </w:r>
            <w:r>
              <w:rPr>
                <w:rFonts w:hint="eastAsia" w:ascii="宋体" w:hAnsi="宋体" w:eastAsia="宋体" w:cs="宋体"/>
                <w:color w:val="0000FF"/>
                <w:kern w:val="0"/>
                <w:sz w:val="18"/>
                <w:szCs w:val="18"/>
                <w:highlight w:val="none"/>
                <w:lang w:val="en-US" w:eastAsia="zh-CN"/>
              </w:rPr>
              <w:t>等系统的</w:t>
            </w:r>
            <w:r>
              <w:rPr>
                <w:rFonts w:hint="eastAsia" w:ascii="宋体" w:hAnsi="宋体" w:eastAsia="宋体" w:cs="宋体"/>
                <w:color w:val="0000FF"/>
                <w:kern w:val="0"/>
                <w:sz w:val="18"/>
                <w:szCs w:val="18"/>
                <w:highlight w:val="none"/>
              </w:rPr>
              <w:t>数据</w:t>
            </w:r>
            <w:r>
              <w:rPr>
                <w:rFonts w:hint="eastAsia" w:ascii="宋体" w:hAnsi="宋体" w:eastAsia="宋体" w:cs="宋体"/>
                <w:kern w:val="0"/>
                <w:sz w:val="18"/>
                <w:szCs w:val="18"/>
              </w:rPr>
              <w:t>，按照数据标准按规存储。采集车辆定位数据、动态监控数据。</w:t>
            </w:r>
          </w:p>
          <w:p>
            <w:pPr>
              <w:spacing w:line="240" w:lineRule="exact"/>
              <w:ind w:firstLine="360" w:firstLineChars="200"/>
              <w:jc w:val="left"/>
              <w:rPr>
                <w:rFonts w:hint="eastAsia"/>
              </w:rPr>
            </w:pPr>
            <w:r>
              <w:rPr>
                <w:rFonts w:hint="eastAsia" w:ascii="宋体" w:hAnsi="宋体" w:eastAsia="宋体" w:cs="宋体"/>
                <w:kern w:val="0"/>
                <w:sz w:val="18"/>
                <w:szCs w:val="18"/>
              </w:rPr>
              <w:t>利用数据交换共享系统将采集到数据数据推送到OA报表系统，用于报表的展现。</w:t>
            </w:r>
          </w:p>
        </w:tc>
        <w:tc>
          <w:tcPr>
            <w:tcW w:w="1230" w:type="dxa"/>
            <w:tcBorders>
              <w:top w:val="single" w:color="auto" w:sz="4" w:space="0"/>
              <w:left w:val="nil"/>
              <w:bottom w:val="single" w:color="auto" w:sz="4" w:space="0"/>
              <w:right w:val="single" w:color="auto" w:sz="4" w:space="0"/>
            </w:tcBorders>
          </w:tcPr>
          <w:p>
            <w:pPr>
              <w:spacing w:line="240" w:lineRule="exact"/>
              <w:ind w:firstLine="360" w:firstLineChars="200"/>
              <w:jc w:val="left"/>
              <w:rPr>
                <w:rFonts w:ascii="宋体" w:hAnsi="宋体" w:eastAsia="宋体" w:cs="宋体"/>
                <w:kern w:val="0"/>
                <w:sz w:val="18"/>
                <w:szCs w:val="18"/>
              </w:rPr>
            </w:pPr>
          </w:p>
        </w:tc>
      </w:tr>
    </w:tbl>
    <w:p>
      <w:pPr>
        <w:rPr>
          <w:rFonts w:ascii="宋体" w:hAnsi="宋体" w:eastAsia="宋体" w:cs="宋体"/>
        </w:rPr>
      </w:pPr>
    </w:p>
    <w:p>
      <w:pPr>
        <w:pStyle w:val="57"/>
        <w:ind w:firstLine="211"/>
        <w:rPr>
          <w:rFonts w:ascii="宋体" w:hAnsi="宋体" w:eastAsia="宋体" w:cs="宋体"/>
          <w:b/>
          <w:bCs/>
        </w:rPr>
      </w:pPr>
      <w:r>
        <w:rPr>
          <w:rFonts w:hint="eastAsia" w:ascii="宋体" w:hAnsi="宋体" w:eastAsia="宋体" w:cs="宋体"/>
          <w:b/>
          <w:bCs/>
        </w:rPr>
        <w:t>2、综合性应用系统建设</w:t>
      </w:r>
    </w:p>
    <w:tbl>
      <w:tblPr>
        <w:tblStyle w:val="22"/>
        <w:tblW w:w="8849" w:type="dxa"/>
        <w:jc w:val="center"/>
        <w:tblLayout w:type="autofit"/>
        <w:tblCellMar>
          <w:top w:w="0" w:type="dxa"/>
          <w:left w:w="108" w:type="dxa"/>
          <w:bottom w:w="0" w:type="dxa"/>
          <w:right w:w="108" w:type="dxa"/>
        </w:tblCellMar>
      </w:tblPr>
      <w:tblGrid>
        <w:gridCol w:w="508"/>
        <w:gridCol w:w="664"/>
        <w:gridCol w:w="1312"/>
        <w:gridCol w:w="5061"/>
        <w:gridCol w:w="1304"/>
      </w:tblGrid>
      <w:tr>
        <w:tblPrEx>
          <w:tblCellMar>
            <w:top w:w="0" w:type="dxa"/>
            <w:left w:w="108" w:type="dxa"/>
            <w:bottom w:w="0" w:type="dxa"/>
            <w:right w:w="108" w:type="dxa"/>
          </w:tblCellMar>
        </w:tblPrEx>
        <w:trPr>
          <w:trHeight w:val="23"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97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模块</w:t>
            </w:r>
          </w:p>
        </w:tc>
        <w:tc>
          <w:tcPr>
            <w:tcW w:w="50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业务需求点</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模块实施范围</w:t>
            </w:r>
          </w:p>
        </w:tc>
      </w:tr>
      <w:tr>
        <w:tblPrEx>
          <w:tblCellMar>
            <w:top w:w="0" w:type="dxa"/>
            <w:left w:w="108" w:type="dxa"/>
            <w:bottom w:w="0" w:type="dxa"/>
            <w:right w:w="108" w:type="dxa"/>
          </w:tblCellMar>
        </w:tblPrEx>
        <w:trPr>
          <w:trHeight w:val="23" w:hRule="atLeast"/>
          <w:jc w:val="center"/>
        </w:trPr>
        <w:tc>
          <w:tcPr>
            <w:tcW w:w="508" w:type="dxa"/>
            <w:vMerge w:val="restart"/>
            <w:tcBorders>
              <w:top w:val="nil"/>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64" w:type="dxa"/>
            <w:vMerge w:val="restart"/>
            <w:tcBorders>
              <w:top w:val="nil"/>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信息门户</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界面设计</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操作界面清晰、美观、干净、直观，并且前后操作连贯</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集团本级及所有下属单位</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数据整合</w:t>
            </w:r>
          </w:p>
        </w:tc>
        <w:tc>
          <w:tcPr>
            <w:tcW w:w="5061" w:type="dxa"/>
            <w:tcBorders>
              <w:top w:val="nil"/>
              <w:left w:val="nil"/>
              <w:bottom w:val="single" w:color="auto" w:sz="4" w:space="0"/>
              <w:right w:val="single" w:color="auto" w:sz="4" w:space="0"/>
            </w:tcBorders>
            <w:shd w:val="clear" w:color="000000" w:fill="FFFFFF"/>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对各类现有应用系统中信息和数据资源的全面、有机整合来为业务系统的工作协同服务</w:t>
            </w:r>
          </w:p>
        </w:tc>
        <w:tc>
          <w:tcPr>
            <w:tcW w:w="1304" w:type="dxa"/>
            <w:vMerge w:val="continue"/>
            <w:tcBorders>
              <w:left w:val="nil"/>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用户工作门户</w:t>
            </w:r>
          </w:p>
        </w:tc>
        <w:tc>
          <w:tcPr>
            <w:tcW w:w="5061" w:type="dxa"/>
            <w:tcBorders>
              <w:top w:val="nil"/>
              <w:left w:val="nil"/>
              <w:bottom w:val="single" w:color="auto" w:sz="4" w:space="0"/>
              <w:right w:val="single" w:color="auto" w:sz="4" w:space="0"/>
            </w:tcBorders>
            <w:shd w:val="clear" w:color="000000" w:fill="FFFFFF"/>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个人门户、领导门户、部门门户、人才门户、财会门户、党建门户等，聚合组织业务、管理信息等</w:t>
            </w:r>
          </w:p>
        </w:tc>
        <w:tc>
          <w:tcPr>
            <w:tcW w:w="1304" w:type="dxa"/>
            <w:vMerge w:val="continue"/>
            <w:tcBorders>
              <w:left w:val="nil"/>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报表呈现</w:t>
            </w:r>
          </w:p>
        </w:tc>
        <w:tc>
          <w:tcPr>
            <w:tcW w:w="5061" w:type="dxa"/>
            <w:tcBorders>
              <w:top w:val="nil"/>
              <w:left w:val="nil"/>
              <w:bottom w:val="single" w:color="auto" w:sz="4" w:space="0"/>
              <w:right w:val="single" w:color="auto" w:sz="4" w:space="0"/>
            </w:tcBorders>
            <w:shd w:val="clear" w:color="000000" w:fill="FFFFFF"/>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相关的业务报表需在门户端统一呈现，做到权限管理，只有对应的部门及领导才能看到相应的报表</w:t>
            </w:r>
          </w:p>
        </w:tc>
        <w:tc>
          <w:tcPr>
            <w:tcW w:w="1304" w:type="dxa"/>
            <w:vMerge w:val="continue"/>
            <w:tcBorders>
              <w:left w:val="nil"/>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highlight w:val="none"/>
              </w:rPr>
            </w:pPr>
          </w:p>
        </w:tc>
        <w:tc>
          <w:tcPr>
            <w:tcW w:w="13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操作习惯</w:t>
            </w:r>
          </w:p>
        </w:tc>
        <w:tc>
          <w:tcPr>
            <w:tcW w:w="5061" w:type="dxa"/>
            <w:tcBorders>
              <w:top w:val="nil"/>
              <w:left w:val="nil"/>
              <w:bottom w:val="single" w:color="auto" w:sz="4" w:space="0"/>
              <w:right w:val="single" w:color="auto" w:sz="4" w:space="0"/>
            </w:tcBorders>
            <w:shd w:val="clear" w:color="000000" w:fill="FFFFFF"/>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需尽量与原OA办公系统的操作习惯接近，减少不必要的适应性工作</w:t>
            </w:r>
          </w:p>
        </w:tc>
        <w:tc>
          <w:tcPr>
            <w:tcW w:w="1304" w:type="dxa"/>
            <w:vMerge w:val="continue"/>
            <w:tcBorders>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流程管理功能</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流程模板</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提供流程标准模板，通过流程的建立和规范、流程数据分析</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集团本级及所有下属单位</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流程优化</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通过流程优化，减少公司办公业务中的非增值活动、等待时间、重复和协调的工作量，在解决协同工作和信息共享的同时，实现在线业务流转和管理</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可视化流程工具</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构建灵活的可视化流程定义工具，支持流程自动检测，减少流程的人为疏忽错误配置</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流程集成</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各专项业务流程需要与专业的业务系统集成，实现流程中可以直接抓取业务系统中的各项数值，实现数据的高效协同</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移动流程管理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实现移动端网上审批的功能，包含公文、通知公告、会议等流程的移动处理。</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nil"/>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数字办公管理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单点登录</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数据中台内系统单点登录</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集团本级（单点登录、车辆管理覆盖全集团）</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决策管理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决策事项全过程管理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领导批示件办理情况跟踪</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批办事项集中管理等台账。</w:t>
            </w:r>
          </w:p>
          <w:p>
            <w:pPr>
              <w:widowControl/>
              <w:numPr>
                <w:ilvl w:val="0"/>
                <w:numId w:val="32"/>
              </w:numPr>
              <w:spacing w:line="240" w:lineRule="exact"/>
              <w:jc w:val="left"/>
              <w:rPr>
                <w:rFonts w:ascii="宋体" w:hAnsi="宋体" w:eastAsia="宋体" w:cs="宋体"/>
                <w:sz w:val="18"/>
                <w:szCs w:val="18"/>
              </w:rPr>
            </w:pPr>
            <w:r>
              <w:rPr>
                <w:rFonts w:hint="eastAsia" w:ascii="宋体" w:hAnsi="宋体" w:eastAsia="宋体" w:cs="宋体"/>
                <w:kern w:val="0"/>
                <w:sz w:val="18"/>
                <w:szCs w:val="18"/>
              </w:rPr>
              <w:t>会议过程管理</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办公管理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办公用品采购领用清单</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办公车辆管理（含违纪违规记录查询）</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重点（重要）工作清单等相关流程和台账</w:t>
            </w:r>
          </w:p>
          <w:p>
            <w:pPr>
              <w:pStyle w:val="57"/>
              <w:numPr>
                <w:ilvl w:val="0"/>
                <w:numId w:val="32"/>
              </w:numPr>
              <w:spacing w:line="240" w:lineRule="exact"/>
              <w:ind w:firstLineChars="0"/>
              <w:rPr>
                <w:rFonts w:ascii="宋体" w:hAnsi="宋体" w:eastAsia="宋体" w:cs="宋体"/>
                <w:sz w:val="18"/>
                <w:szCs w:val="18"/>
              </w:rPr>
            </w:pPr>
            <w:r>
              <w:rPr>
                <w:rFonts w:hint="eastAsia" w:ascii="宋体" w:hAnsi="宋体" w:eastAsia="宋体" w:cs="宋体"/>
                <w:kern w:val="0"/>
                <w:sz w:val="18"/>
                <w:szCs w:val="18"/>
              </w:rPr>
              <w:t>4、原OA办公系统升级</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公文管理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1、公文写作格式模板管理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2、收发文管理</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single" w:color="auto" w:sz="4" w:space="0"/>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数字财会管理</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财务报表分析及指标分析</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资产负债表</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利润表</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现金流量</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费用统计表</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其他管理自定义报表</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盈利能力</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偿债能力</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营运能力及成长能力分析</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集团财管中心</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财会管理门户</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报销/付款关键数据展示</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财务管理制度展示等</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网上报账管理</w:t>
            </w:r>
          </w:p>
        </w:tc>
        <w:tc>
          <w:tcPr>
            <w:tcW w:w="5061" w:type="dxa"/>
            <w:tcBorders>
              <w:top w:val="nil"/>
              <w:left w:val="nil"/>
              <w:bottom w:val="single" w:color="auto" w:sz="4" w:space="0"/>
              <w:right w:val="single" w:color="auto" w:sz="4" w:space="0"/>
            </w:tcBorders>
            <w:vAlign w:val="center"/>
          </w:tcPr>
          <w:p>
            <w:pPr>
              <w:numPr>
                <w:ilvl w:val="0"/>
                <w:numId w:val="32"/>
              </w:numPr>
              <w:spacing w:line="240" w:lineRule="exact"/>
              <w:jc w:val="left"/>
              <w:rPr>
                <w:rFonts w:ascii="宋体" w:hAnsi="宋体" w:eastAsia="宋体" w:cs="宋体"/>
                <w:sz w:val="18"/>
                <w:szCs w:val="18"/>
              </w:rPr>
            </w:pPr>
            <w:r>
              <w:rPr>
                <w:rFonts w:hint="eastAsia" w:ascii="宋体" w:hAnsi="宋体" w:eastAsia="宋体" w:cs="宋体"/>
                <w:sz w:val="18"/>
                <w:szCs w:val="18"/>
              </w:rPr>
              <w:t>1、报销/付款流程：员工报销、对公付款、合同执行进度等相关流程；</w:t>
            </w:r>
          </w:p>
          <w:p>
            <w:pPr>
              <w:numPr>
                <w:ilvl w:val="0"/>
                <w:numId w:val="32"/>
              </w:numPr>
              <w:spacing w:line="240" w:lineRule="exact"/>
              <w:jc w:val="left"/>
              <w:rPr>
                <w:rFonts w:ascii="宋体" w:hAnsi="宋体" w:eastAsia="宋体" w:cs="宋体"/>
                <w:sz w:val="18"/>
                <w:szCs w:val="18"/>
              </w:rPr>
            </w:pPr>
            <w:r>
              <w:rPr>
                <w:rFonts w:hint="eastAsia" w:ascii="宋体" w:hAnsi="宋体" w:eastAsia="宋体" w:cs="宋体"/>
                <w:sz w:val="18"/>
                <w:szCs w:val="18"/>
              </w:rPr>
              <w:t>2、支持报账票据影像的自动识别，识别后信息自动录入(OCR技术)报账单据，减少报账单据手工填写数据。</w:t>
            </w:r>
          </w:p>
          <w:p>
            <w:pPr>
              <w:numPr>
                <w:ilvl w:val="0"/>
                <w:numId w:val="32"/>
              </w:numPr>
              <w:spacing w:line="240" w:lineRule="exact"/>
              <w:jc w:val="left"/>
              <w:rPr>
                <w:rFonts w:ascii="宋体" w:hAnsi="宋体" w:eastAsia="宋体" w:cs="宋体"/>
                <w:sz w:val="18"/>
                <w:szCs w:val="18"/>
              </w:rPr>
            </w:pPr>
            <w:r>
              <w:rPr>
                <w:rFonts w:hint="eastAsia" w:ascii="宋体" w:hAnsi="宋体" w:eastAsia="宋体" w:cs="宋体"/>
                <w:sz w:val="18"/>
                <w:szCs w:val="18"/>
              </w:rPr>
              <w:t>3、支持移动审批和移动填单，移动应用同时支持影像的管理及识别。</w:t>
            </w:r>
          </w:p>
          <w:p>
            <w:pPr>
              <w:numPr>
                <w:ilvl w:val="0"/>
                <w:numId w:val="32"/>
              </w:numPr>
              <w:spacing w:line="240" w:lineRule="exact"/>
              <w:jc w:val="left"/>
              <w:rPr>
                <w:rFonts w:ascii="宋体" w:hAnsi="宋体" w:eastAsia="宋体" w:cs="宋体"/>
                <w:sz w:val="18"/>
                <w:szCs w:val="18"/>
              </w:rPr>
            </w:pPr>
            <w:r>
              <w:rPr>
                <w:rFonts w:hint="eastAsia" w:ascii="宋体" w:hAnsi="宋体" w:eastAsia="宋体" w:cs="宋体"/>
                <w:sz w:val="18"/>
                <w:szCs w:val="18"/>
              </w:rPr>
              <w:t>4、支持标准控制，支持机票、火车票、住宿费等按人员岗位控制报销标准，校验员工报销费用是否超标等。</w:t>
            </w:r>
          </w:p>
          <w:p>
            <w:pPr>
              <w:numPr>
                <w:ilvl w:val="0"/>
                <w:numId w:val="32"/>
              </w:numPr>
              <w:spacing w:line="240" w:lineRule="exact"/>
              <w:jc w:val="left"/>
              <w:rPr>
                <w:rFonts w:ascii="宋体" w:hAnsi="宋体" w:eastAsia="宋体" w:cs="宋体"/>
                <w:sz w:val="18"/>
                <w:szCs w:val="18"/>
              </w:rPr>
            </w:pPr>
            <w:r>
              <w:rPr>
                <w:rFonts w:hint="eastAsia" w:ascii="宋体" w:hAnsi="宋体" w:eastAsia="宋体" w:cs="宋体"/>
                <w:sz w:val="18"/>
                <w:szCs w:val="18"/>
              </w:rPr>
              <w:t>5、支持发票自动识别技术，能够自动进行发票的查重验真，支持发票内容合规性检查（包括发票内容、发票税率、发票金额的合规性检查）。</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sz w:val="18"/>
                <w:szCs w:val="18"/>
              </w:rPr>
              <w:t>6、支持在报账过程中上传影像、审批人审批、财务稽核和会计核算时调阅影像，影像文件支持JPG、PDF、WORD、EXCEL等常见格式。</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电子影像管理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1、负责财会影像的采集和管理，并且向外界提供标准的访问接口，使影像管理子系统作为一个中间平台系统，供各个业务系统进行影像的调阅，其他系统能够利用影像系统，提高业务处理的效率。</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2、支持纸质原始票据影像的采集，兼容高速连续扫描仪、高拍仪、智能手机等影像采集工具进行数字影像采集。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3、电子影像与报账流程紧密结合，将原始发票扫描传入影像中心，进行集中、分类管理。同时，伴随着报账中心单据流转的每一个节点，影像中心支持随时调阅、存档影像信息，便捷实现集中化的财务处理模式，解决跨地域业务处理的问题。</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4、支持影像系统与其他系统对接，规范会计档案电子化管理。相关数据的查询统计分析，支持多维度、灵活多样的数据查询统计分析，按需灵活定义分析主题。</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5、支持联查：从财务凭证——联查报账单据——联查票据电子影像。</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系统集成</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与核算系统集成创建凭证</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与资金系统做支付集成</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与其他业务系统系统同步相关业务数据</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single" w:color="auto" w:sz="4" w:space="0"/>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6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数字人才管理</w:t>
            </w:r>
          </w:p>
        </w:tc>
        <w:tc>
          <w:tcPr>
            <w:tcW w:w="13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员工数据报表</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员工流动数据（净流出、净流入、净增加、人员离职率等）支持按期间、按部门、按流出/流入等查询分析</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员工结构分布数据（用工形式、年龄结构、学历结构、职称结构）</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分层次人才数据分析（各层级人才人数及学历、年龄、职称等）</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年度干部任职汇总信息（提任人数、平职交流人数）</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股级以上干部结构分布数据</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集团人事部</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人才门户管理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人才相关快捷入口</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关键数据看板例如年度出入境数据等</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人才相关流程</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1、人才招聘、入职、调岗、离职、年度用工需求等流程</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教育培训</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培训指引</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在线测试</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投票测评</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年度董监事任职任期届满提醒等</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系统集成</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HR系统单点登录</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员工流程数据集成同步</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员工主数据同步</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nil"/>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6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数字经营管理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公路数字化管理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高速公路路段车流量</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高速公路及服务区监控图像</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高速公路基础构筑物状态</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公路运营涉及水库水及雨情等相关统计台账</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集团经营部（高速运营公司及相关公司按需开启）</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工程数字化管理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养护工程动态</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项目结算情况</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重大经营项目经营状况等相关流程和台账</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集团经营部（包含养护公司等按需开启）</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数字化经营看板</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集团系统组织架构及法人治理结构信息分析</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经营状况关键指标分析等数据看板展示</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集团经营部</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资产数字化管理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集团资产状况及出租情况</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资产采购计划执行情况</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项目采购进度状况等相关台账</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集团资管部（包含各下属公司按需开启）</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数字化产权管理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集团及集团所属二级、三级控股、参股单位：</w:t>
            </w:r>
          </w:p>
          <w:p>
            <w:pPr>
              <w:widowControl/>
              <w:numPr>
                <w:ilvl w:val="0"/>
                <w:numId w:val="33"/>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占有产权登记</w:t>
            </w:r>
          </w:p>
          <w:p>
            <w:pPr>
              <w:widowControl/>
              <w:numPr>
                <w:ilvl w:val="0"/>
                <w:numId w:val="33"/>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变动产权登记</w:t>
            </w:r>
          </w:p>
          <w:p>
            <w:pPr>
              <w:widowControl/>
              <w:numPr>
                <w:ilvl w:val="0"/>
                <w:numId w:val="33"/>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注销产权登记</w:t>
            </w:r>
          </w:p>
          <w:p>
            <w:pPr>
              <w:widowControl/>
              <w:numPr>
                <w:ilvl w:val="0"/>
                <w:numId w:val="33"/>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业务查询管理</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集团经营部</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数字化章程管理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集团及集团所出资单位的章程：</w:t>
            </w:r>
          </w:p>
          <w:p>
            <w:pPr>
              <w:widowControl/>
              <w:numPr>
                <w:ilvl w:val="0"/>
                <w:numId w:val="34"/>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新制订/修改</w:t>
            </w:r>
          </w:p>
          <w:p>
            <w:pPr>
              <w:widowControl/>
              <w:numPr>
                <w:ilvl w:val="0"/>
                <w:numId w:val="34"/>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章程备案</w:t>
            </w:r>
          </w:p>
          <w:p>
            <w:pPr>
              <w:widowControl/>
              <w:numPr>
                <w:ilvl w:val="0"/>
                <w:numId w:val="34"/>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章程查询管理</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数字化董事会管理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集团本级及下属单位：</w:t>
            </w:r>
          </w:p>
          <w:p>
            <w:pPr>
              <w:widowControl/>
              <w:numPr>
                <w:ilvl w:val="0"/>
                <w:numId w:val="35"/>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临时董事会决议审批</w:t>
            </w:r>
          </w:p>
          <w:p>
            <w:pPr>
              <w:widowControl/>
              <w:numPr>
                <w:ilvl w:val="0"/>
                <w:numId w:val="35"/>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董事会决议备案</w:t>
            </w:r>
          </w:p>
          <w:p>
            <w:pPr>
              <w:widowControl/>
              <w:numPr>
                <w:ilvl w:val="0"/>
                <w:numId w:val="35"/>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决议查询管理</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数字化股东会管理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集团本级及下属单位：</w:t>
            </w:r>
          </w:p>
          <w:p>
            <w:pPr>
              <w:widowControl/>
              <w:numPr>
                <w:ilvl w:val="0"/>
                <w:numId w:val="36"/>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股东会决议备案</w:t>
            </w:r>
          </w:p>
          <w:p>
            <w:pPr>
              <w:widowControl/>
              <w:numPr>
                <w:ilvl w:val="0"/>
                <w:numId w:val="36"/>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决议查询管理</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数字化招商引资管理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可根据项目目标制定招商业态策划</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在项目商业策划执行过程中可能会因为项目需求的变更导致策划方案的更改</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在系统中可以实现对项目策划的修改</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同时在系统中实现对项目策划</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具体实施过程中不间断的跟进记录</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数字投资管理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集团本级及下属单位：</w:t>
            </w:r>
          </w:p>
          <w:p>
            <w:pPr>
              <w:widowControl/>
              <w:numPr>
                <w:ilvl w:val="0"/>
                <w:numId w:val="37"/>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数字投资管理门户</w:t>
            </w:r>
          </w:p>
          <w:p>
            <w:pPr>
              <w:widowControl/>
              <w:numPr>
                <w:ilvl w:val="0"/>
                <w:numId w:val="37"/>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企业投资项目合规性管理</w:t>
            </w:r>
          </w:p>
          <w:p>
            <w:pPr>
              <w:widowControl/>
              <w:numPr>
                <w:ilvl w:val="0"/>
                <w:numId w:val="37"/>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企业投资项目台账管理</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系统集成</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经营流程数据集成同步</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经营信息结果同步</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数字建管管理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建设项目进展分析</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项目前期进度</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项目施工形象进度</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项目各合同段实际完成和支付比例数据等数据报表统计分析</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集团建管部（包含各下属公司按需开启）</w:t>
            </w:r>
          </w:p>
        </w:tc>
      </w:tr>
      <w:tr>
        <w:tblPrEx>
          <w:tblCellMar>
            <w:top w:w="0" w:type="dxa"/>
            <w:left w:w="108" w:type="dxa"/>
            <w:bottom w:w="0" w:type="dxa"/>
            <w:right w:w="108" w:type="dxa"/>
          </w:tblCellMar>
        </w:tblPrEx>
        <w:trPr>
          <w:trHeight w:val="23" w:hRule="atLeast"/>
          <w:jc w:val="center"/>
        </w:trPr>
        <w:tc>
          <w:tcPr>
            <w:tcW w:w="5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建设项目过程管理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工程招标管理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投资额管理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征迁过程管理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项目合同及报价管理（含计量、支付及索赔）</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工程设计变更管理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竣工验收管理等相关流程</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数字安全管理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安全责任管理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线上安全责任体系设立</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线上规章制度与操作章程、安全生产经费投入情况等台账</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安全教育及结果情况展示台账</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集团安全部（包含各下属公司按需开启）</w:t>
            </w:r>
          </w:p>
        </w:tc>
      </w:tr>
      <w:tr>
        <w:tblPrEx>
          <w:tblCellMar>
            <w:top w:w="0" w:type="dxa"/>
            <w:left w:w="108" w:type="dxa"/>
            <w:bottom w:w="0" w:type="dxa"/>
            <w:right w:w="108" w:type="dxa"/>
          </w:tblCellMar>
        </w:tblPrEx>
        <w:trPr>
          <w:trHeight w:val="23" w:hRule="atLeast"/>
          <w:jc w:val="center"/>
        </w:trPr>
        <w:tc>
          <w:tcPr>
            <w:tcW w:w="5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安全过程管控</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风险管控、安全隐患排查及整改相关流程和数据台账</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应急管理、事故调查与处理相关流程和数据台账</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工程质量管理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工程项目决策阶段、实施阶段、竣工校验阶段的质量过程管控流程及数据台账</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安全数据文档</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安全信息月报</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大型设备设施统计</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安全知识栏</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6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数字战略管理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战略细化看板</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集团及各单位综合规划目标展示及落实进度可视化看板</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集团战略管理部（法务部）</w:t>
            </w:r>
          </w:p>
        </w:tc>
      </w:tr>
      <w:tr>
        <w:tblPrEx>
          <w:tblCellMar>
            <w:top w:w="0" w:type="dxa"/>
            <w:left w:w="108" w:type="dxa"/>
            <w:bottom w:w="0" w:type="dxa"/>
            <w:right w:w="108" w:type="dxa"/>
          </w:tblCellMar>
        </w:tblPrEx>
        <w:trPr>
          <w:trHeight w:val="23" w:hRule="atLeast"/>
          <w:jc w:val="center"/>
        </w:trPr>
        <w:tc>
          <w:tcPr>
            <w:tcW w:w="5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p>
        </w:tc>
        <w:tc>
          <w:tcPr>
            <w:tcW w:w="6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战略领域管理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例如集团法务领域（法律顾问管理情况、法务纠纷及处理情况）相关流程和数据台账</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restart"/>
            <w:tcBorders>
              <w:top w:val="single" w:color="auto" w:sz="4" w:space="0"/>
              <w:left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6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数字监察管理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监察问题管理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问题线索管理</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主体责任纪实情况</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重点任务督办情况、巡察、审计问题整改情况相关流程和数据台账</w:t>
            </w:r>
          </w:p>
        </w:tc>
        <w:tc>
          <w:tcPr>
            <w:tcW w:w="1304"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集团监察室</w:t>
            </w: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监察预防管理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廉洁风险点排查及动态监测情况</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党风廉政教育情况</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违规违纪统计情况等台账管理</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“三重一大”跟踪管理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“三重一大”事项报备监督流程及相关台账</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重点监督领域动态监督情况台账</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专项检查档案管理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专项检查过程档案管理，各类文件上传、存档、归类</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根据权限查阅导出等</w:t>
            </w:r>
          </w:p>
        </w:tc>
        <w:tc>
          <w:tcPr>
            <w:tcW w:w="1304"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p>
        </w:tc>
        <w:tc>
          <w:tcPr>
            <w:tcW w:w="6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重点监督动态预警管理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结合二级单位管理系统，根据重点领域、关键岗位监督机制：对土地资产管理、大额非生产性资金拨付、自主招投标工作流程、大额招待费用等异常情况自动产生预警。</w:t>
            </w:r>
          </w:p>
        </w:tc>
        <w:tc>
          <w:tcPr>
            <w:tcW w:w="1304"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 w:hRule="atLeast"/>
          <w:jc w:val="center"/>
        </w:trPr>
        <w:tc>
          <w:tcPr>
            <w:tcW w:w="508" w:type="dxa"/>
            <w:tcBorders>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664"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数字文化管理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数字</w:t>
            </w:r>
            <w:r>
              <w:rPr>
                <w:rFonts w:ascii="宋体" w:hAnsi="宋体" w:eastAsia="宋体" w:cs="宋体"/>
                <w:kern w:val="0"/>
                <w:sz w:val="18"/>
                <w:szCs w:val="18"/>
                <w:highlight w:val="none"/>
              </w:rPr>
              <w:t>文化管理</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数字文化管理门户</w:t>
            </w:r>
          </w:p>
          <w:p>
            <w:pPr>
              <w:widowControl/>
              <w:numPr>
                <w:ilvl w:val="0"/>
                <w:numId w:val="32"/>
              </w:numPr>
              <w:spacing w:line="240" w:lineRule="exact"/>
              <w:jc w:val="left"/>
              <w:rPr>
                <w:rFonts w:ascii="宋体" w:hAnsi="宋体" w:eastAsia="宋体" w:cs="宋体"/>
                <w:kern w:val="0"/>
                <w:sz w:val="18"/>
                <w:szCs w:val="18"/>
                <w:highlight w:val="none"/>
              </w:rPr>
            </w:pPr>
            <w:r>
              <w:rPr>
                <w:rFonts w:ascii="宋体" w:hAnsi="宋体" w:eastAsia="宋体" w:cs="宋体"/>
                <w:kern w:val="0"/>
                <w:sz w:val="18"/>
                <w:szCs w:val="18"/>
                <w:highlight w:val="none"/>
              </w:rPr>
              <w:t>文化活动展示</w:t>
            </w:r>
          </w:p>
          <w:p>
            <w:pPr>
              <w:widowControl/>
              <w:numPr>
                <w:ilvl w:val="0"/>
                <w:numId w:val="32"/>
              </w:numPr>
              <w:spacing w:line="240" w:lineRule="exact"/>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企业</w:t>
            </w:r>
            <w:r>
              <w:rPr>
                <w:rFonts w:ascii="宋体" w:hAnsi="宋体" w:eastAsia="宋体" w:cs="宋体"/>
                <w:kern w:val="0"/>
                <w:sz w:val="18"/>
                <w:szCs w:val="18"/>
                <w:highlight w:val="none"/>
              </w:rPr>
              <w:t>文化展示</w:t>
            </w:r>
          </w:p>
          <w:p>
            <w:pPr>
              <w:widowControl/>
              <w:numPr>
                <w:ilvl w:val="0"/>
                <w:numId w:val="32"/>
              </w:numPr>
              <w:spacing w:line="240" w:lineRule="exact"/>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文明单位创建成果</w:t>
            </w:r>
            <w:r>
              <w:rPr>
                <w:rFonts w:ascii="宋体" w:hAnsi="宋体" w:eastAsia="宋体" w:cs="宋体"/>
                <w:kern w:val="0"/>
                <w:sz w:val="18"/>
                <w:szCs w:val="18"/>
                <w:highlight w:val="none"/>
              </w:rPr>
              <w:t>展示</w:t>
            </w:r>
          </w:p>
        </w:tc>
        <w:tc>
          <w:tcPr>
            <w:tcW w:w="1304" w:type="dxa"/>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集团本级及所有下属公司</w:t>
            </w:r>
          </w:p>
        </w:tc>
      </w:tr>
      <w:tr>
        <w:tblPrEx>
          <w:tblCellMar>
            <w:top w:w="0" w:type="dxa"/>
            <w:left w:w="108" w:type="dxa"/>
            <w:bottom w:w="0" w:type="dxa"/>
            <w:right w:w="108" w:type="dxa"/>
          </w:tblCellMar>
        </w:tblPrEx>
        <w:trPr>
          <w:trHeight w:val="23" w:hRule="atLeast"/>
          <w:jc w:val="center"/>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6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系统集成管理</w:t>
            </w:r>
          </w:p>
        </w:tc>
        <w:tc>
          <w:tcPr>
            <w:tcW w:w="13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与原内部系统集成</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单点登录；</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LDAP同步组织架构信息或人员信息；</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同人事系统同步组织架构信息或人员信息；</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主数据集成同步，例如：物料主数据、供应商主数据等等;</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门户信息集成：异构系统的数据信息、报表到集团数据中台门户;</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门户统一待办集成：异构系统的统一待办集成到集团数据中台门户;</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主动流程触发：异构系统通过接口程序主动生成审批流到集团数据中台；</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被动流程触发：集团数据中台监听异构系统数据，并在触发情况下自动生成协同办公审批流程；</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流程回写：集团数据中台回写数据到异构系统中；</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集团数据中台流程表单某字段直接引用异构系统结构型数据；</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短信、IM接口：实现短信平台或者硬件的收发短信的功能以及IM功能；</w:t>
            </w:r>
          </w:p>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以上动作可以配置定制器，自动操作；</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集团本级及所有下属公司</w:t>
            </w:r>
          </w:p>
        </w:tc>
      </w:tr>
      <w:tr>
        <w:tblPrEx>
          <w:tblCellMar>
            <w:top w:w="0" w:type="dxa"/>
            <w:left w:w="108" w:type="dxa"/>
            <w:bottom w:w="0" w:type="dxa"/>
            <w:right w:w="108" w:type="dxa"/>
          </w:tblCellMar>
        </w:tblPrEx>
        <w:trPr>
          <w:trHeight w:val="23"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支持数字身份认证拓展</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支持数字身份认证（人脸识别等），可在流程任意关键节点、重要文档、重要报表等添加数字身份认证环节，保证数据安全；</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可实现集团部署</w:t>
            </w:r>
          </w:p>
        </w:tc>
      </w:tr>
      <w:tr>
        <w:tblPrEx>
          <w:tblCellMar>
            <w:top w:w="0" w:type="dxa"/>
            <w:left w:w="108" w:type="dxa"/>
            <w:bottom w:w="0" w:type="dxa"/>
            <w:right w:w="108" w:type="dxa"/>
          </w:tblCellMar>
        </w:tblPrEx>
        <w:trPr>
          <w:trHeight w:val="23" w:hRule="atLeast"/>
          <w:jc w:val="center"/>
        </w:trPr>
        <w:tc>
          <w:tcPr>
            <w:tcW w:w="5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支持电子签章拓展</w:t>
            </w:r>
          </w:p>
        </w:tc>
        <w:tc>
          <w:tcPr>
            <w:tcW w:w="5061" w:type="dxa"/>
            <w:tcBorders>
              <w:top w:val="nil"/>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支持电子签章在各大应用场景中实现无缝集成。</w:t>
            </w:r>
          </w:p>
        </w:tc>
        <w:tc>
          <w:tcPr>
            <w:tcW w:w="13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可实现集团部署</w:t>
            </w:r>
          </w:p>
        </w:tc>
      </w:tr>
      <w:tr>
        <w:tblPrEx>
          <w:tblCellMar>
            <w:top w:w="0" w:type="dxa"/>
            <w:left w:w="108" w:type="dxa"/>
            <w:bottom w:w="0" w:type="dxa"/>
            <w:right w:w="108" w:type="dxa"/>
          </w:tblCellMar>
        </w:tblPrEx>
        <w:trPr>
          <w:trHeight w:val="23" w:hRule="atLeast"/>
          <w:jc w:val="center"/>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9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支持信创拓展</w:t>
            </w:r>
          </w:p>
        </w:tc>
        <w:tc>
          <w:tcPr>
            <w:tcW w:w="5061" w:type="dxa"/>
            <w:tcBorders>
              <w:top w:val="single" w:color="auto" w:sz="4" w:space="0"/>
              <w:left w:val="nil"/>
              <w:bottom w:val="single" w:color="auto" w:sz="4" w:space="0"/>
              <w:right w:val="single" w:color="auto" w:sz="4" w:space="0"/>
            </w:tcBorders>
            <w:vAlign w:val="center"/>
          </w:tcPr>
          <w:p>
            <w:pPr>
              <w:widowControl/>
              <w:numPr>
                <w:ilvl w:val="0"/>
                <w:numId w:val="32"/>
              </w:num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支持后续信创国产化环境适配及拓展</w:t>
            </w:r>
          </w:p>
        </w:tc>
        <w:tc>
          <w:tcPr>
            <w:tcW w:w="13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可适配信创环境</w:t>
            </w:r>
          </w:p>
        </w:tc>
      </w:tr>
    </w:tbl>
    <w:p>
      <w:pPr>
        <w:pStyle w:val="9"/>
        <w:rPr>
          <w:rFonts w:ascii="宋体" w:hAnsi="宋体" w:eastAsia="宋体" w:cs="宋体"/>
        </w:rPr>
      </w:pPr>
    </w:p>
    <w:bookmarkEnd w:id="399"/>
    <w:p>
      <w:pPr>
        <w:rPr>
          <w:rFonts w:ascii="宋体" w:hAnsi="宋体" w:eastAsia="宋体" w:cs="宋体"/>
          <w:b/>
          <w:bCs/>
          <w:szCs w:val="21"/>
        </w:rPr>
      </w:pPr>
      <w:r>
        <w:rPr>
          <w:rFonts w:hint="eastAsia" w:ascii="宋体" w:hAnsi="宋体" w:eastAsia="宋体" w:cs="宋体"/>
          <w:b/>
          <w:bCs/>
          <w:szCs w:val="21"/>
        </w:rPr>
        <w:t>3、与本项目相关的云资源服务、云安全服务</w:t>
      </w:r>
    </w:p>
    <w:p>
      <w:pPr>
        <w:ind w:firstLine="422" w:firstLineChars="200"/>
        <w:rPr>
          <w:rFonts w:ascii="宋体" w:hAnsi="宋体" w:eastAsia="宋体" w:cs="宋体"/>
          <w:b/>
          <w:szCs w:val="21"/>
        </w:rPr>
      </w:pPr>
      <w:r>
        <w:rPr>
          <w:rFonts w:hint="eastAsia" w:ascii="宋体" w:hAnsi="宋体" w:eastAsia="宋体" w:cs="宋体"/>
          <w:b/>
          <w:szCs w:val="21"/>
        </w:rPr>
        <w:t>3.1</w:t>
      </w:r>
      <w:r>
        <w:rPr>
          <w:rFonts w:hint="eastAsia" w:ascii="宋体" w:hAnsi="宋体" w:eastAsia="宋体" w:cs="宋体"/>
          <w:b/>
          <w:bCs/>
          <w:szCs w:val="21"/>
        </w:rPr>
        <w:t>本数字化平台项目中标合同签订后，从进场开始实施，直至项目验收合格交付使用，期间所有测试所需要的云资源服务费、云安全服务费（包含运行服务费、售后服务费，下同）均包含在投标报价中；</w:t>
      </w:r>
    </w:p>
    <w:p>
      <w:pPr>
        <w:ind w:firstLine="422" w:firstLineChars="200"/>
        <w:rPr>
          <w:rFonts w:ascii="宋体" w:hAnsi="宋体" w:eastAsia="宋体" w:cs="宋体"/>
          <w:b/>
          <w:szCs w:val="21"/>
        </w:rPr>
      </w:pPr>
      <w:r>
        <w:rPr>
          <w:rFonts w:hint="eastAsia" w:ascii="宋体" w:hAnsi="宋体" w:eastAsia="宋体" w:cs="宋体"/>
          <w:b/>
          <w:szCs w:val="21"/>
        </w:rPr>
        <w:t>3.2 数字化平台项目整体验收合格交付使用后，直至质量保质期期满，期间所有所需要的云资源服务费、云安全服务费均包含在投标报价中；</w:t>
      </w:r>
    </w:p>
    <w:p>
      <w:pPr>
        <w:ind w:firstLine="422" w:firstLineChars="200"/>
        <w:rPr>
          <w:rFonts w:ascii="宋体" w:hAnsi="宋体" w:eastAsia="宋体" w:cs="宋体"/>
          <w:b/>
          <w:szCs w:val="21"/>
          <w:u w:val="single"/>
        </w:rPr>
      </w:pPr>
      <w:r>
        <w:rPr>
          <w:rFonts w:hint="eastAsia" w:ascii="宋体" w:hAnsi="宋体" w:eastAsia="宋体" w:cs="宋体"/>
          <w:b/>
          <w:szCs w:val="21"/>
          <w:u w:val="single"/>
        </w:rPr>
        <w:t>3.3▲免费维护期满后仍提供相同的云资源服务和云安全服务，服务价格不高于本次投标价格，且供应商根据本项目采购文件及承包合同规定的运行服务、售后服务内容等包含在该服务费中。采购人根据实际运行情况可通过续签协议，部分直至全部继续使用这些云服务器、云安全。</w:t>
      </w:r>
    </w:p>
    <w:p>
      <w:pPr>
        <w:spacing w:before="120" w:beforeLines="50" w:after="120" w:afterLines="50"/>
        <w:ind w:firstLine="422" w:firstLineChars="200"/>
        <w:rPr>
          <w:rFonts w:ascii="宋体" w:hAnsi="宋体" w:eastAsia="宋体" w:cs="宋体"/>
          <w:b/>
          <w:szCs w:val="21"/>
        </w:rPr>
      </w:pPr>
      <w:r>
        <w:rPr>
          <w:rFonts w:hint="eastAsia" w:ascii="宋体" w:hAnsi="宋体" w:eastAsia="宋体" w:cs="宋体"/>
          <w:b/>
          <w:szCs w:val="21"/>
        </w:rPr>
        <w:t>3.4项目云服务器、云安全要求</w:t>
      </w:r>
    </w:p>
    <w:p>
      <w:pPr>
        <w:spacing w:before="120" w:beforeLines="50" w:after="120" w:afterLines="50"/>
        <w:ind w:firstLine="422" w:firstLineChars="200"/>
        <w:rPr>
          <w:rFonts w:ascii="宋体" w:hAnsi="宋体" w:eastAsia="宋体" w:cs="宋体"/>
          <w:b/>
          <w:szCs w:val="21"/>
        </w:rPr>
      </w:pPr>
      <w:r>
        <w:rPr>
          <w:rFonts w:hint="eastAsia" w:ascii="宋体" w:hAnsi="宋体" w:eastAsia="宋体" w:cs="宋体"/>
          <w:b/>
          <w:szCs w:val="21"/>
        </w:rPr>
        <w:t>3.4.1数量、规格：</w:t>
      </w:r>
    </w:p>
    <w:tbl>
      <w:tblPr>
        <w:tblStyle w:val="22"/>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58"/>
        <w:gridCol w:w="2831"/>
        <w:gridCol w:w="708"/>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序号</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名称</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Cs/>
                <w:sz w:val="18"/>
                <w:szCs w:val="18"/>
              </w:rPr>
              <w:t>▲</w:t>
            </w:r>
            <w:r>
              <w:rPr>
                <w:rFonts w:hint="eastAsia" w:ascii="宋体" w:hAnsi="宋体" w:eastAsia="宋体" w:cs="宋体"/>
                <w:b/>
                <w:sz w:val="18"/>
                <w:szCs w:val="18"/>
              </w:rPr>
              <w:t>产品规格及参数（最低要求）</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数量</w:t>
            </w:r>
          </w:p>
        </w:tc>
        <w:tc>
          <w:tcPr>
            <w:tcW w:w="25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line="240" w:lineRule="exact"/>
              <w:ind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云服务器</w:t>
            </w:r>
          </w:p>
        </w:tc>
        <w:tc>
          <w:tcPr>
            <w:tcW w:w="283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16核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内存：32G</w:t>
            </w:r>
          </w:p>
          <w:p>
            <w:pPr>
              <w:spacing w:line="240" w:lineRule="exact"/>
              <w:jc w:val="left"/>
              <w:rPr>
                <w:rFonts w:ascii="宋体" w:hAnsi="宋体" w:eastAsia="宋体" w:cs="宋体"/>
                <w:sz w:val="18"/>
                <w:szCs w:val="18"/>
              </w:rPr>
            </w:pPr>
            <w:r>
              <w:rPr>
                <w:rFonts w:hint="eastAsia" w:ascii="宋体" w:hAnsi="宋体" w:eastAsia="宋体" w:cs="宋体"/>
                <w:sz w:val="18"/>
                <w:szCs w:val="18"/>
              </w:rPr>
              <w:t>存储空间：1100G</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1台</w:t>
            </w:r>
          </w:p>
        </w:tc>
        <w:tc>
          <w:tcPr>
            <w:tcW w:w="2588" w:type="dxa"/>
            <w:vMerge w:val="restart"/>
            <w:tcBorders>
              <w:top w:val="single" w:color="auto" w:sz="4" w:space="0"/>
              <w:left w:val="single" w:color="auto" w:sz="4" w:space="0"/>
              <w:right w:val="single" w:color="auto" w:sz="4" w:space="0"/>
            </w:tcBorders>
            <w:vAlign w:val="center"/>
          </w:tcPr>
          <w:p>
            <w:pPr>
              <w:spacing w:line="240" w:lineRule="exact"/>
              <w:jc w:val="left"/>
              <w:rPr>
                <w:rFonts w:ascii="宋体" w:hAnsi="宋体" w:eastAsia="宋体" w:cs="宋体"/>
                <w:sz w:val="18"/>
                <w:szCs w:val="18"/>
              </w:rPr>
            </w:pPr>
            <w:r>
              <w:rPr>
                <w:rFonts w:hint="eastAsia" w:ascii="宋体" w:hAnsi="宋体" w:eastAsia="宋体" w:cs="宋体"/>
                <w:sz w:val="18"/>
                <w:szCs w:val="18"/>
              </w:rPr>
              <w:t>注：</w:t>
            </w:r>
          </w:p>
          <w:p>
            <w:pPr>
              <w:spacing w:line="240" w:lineRule="exact"/>
              <w:jc w:val="left"/>
              <w:rPr>
                <w:rFonts w:ascii="宋体" w:hAnsi="宋体" w:eastAsia="宋体" w:cs="宋体"/>
                <w:sz w:val="18"/>
                <w:szCs w:val="18"/>
              </w:rPr>
            </w:pPr>
            <w:r>
              <w:rPr>
                <w:rFonts w:hint="eastAsia" w:ascii="宋体" w:hAnsi="宋体" w:eastAsia="宋体" w:cs="宋体"/>
                <w:sz w:val="18"/>
                <w:szCs w:val="18"/>
              </w:rPr>
              <w:t>1、技术参数仅为最低要求，提供的云服务器性能必须满足本项目需求。（企业内网专用100M链路。互联网出口独享带宽100Mb。）</w:t>
            </w:r>
          </w:p>
          <w:p>
            <w:pPr>
              <w:spacing w:line="240" w:lineRule="exact"/>
              <w:jc w:val="left"/>
              <w:rPr>
                <w:rFonts w:ascii="宋体" w:hAnsi="宋体" w:eastAsia="宋体" w:cs="宋体"/>
                <w:sz w:val="18"/>
                <w:szCs w:val="18"/>
              </w:rPr>
            </w:pPr>
            <w:r>
              <w:rPr>
                <w:rFonts w:hint="eastAsia" w:ascii="宋体" w:hAnsi="宋体" w:eastAsia="宋体" w:cs="宋体"/>
                <w:sz w:val="18"/>
                <w:szCs w:val="18"/>
              </w:rPr>
              <w:t>2、至少三年免费使用期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line="240" w:lineRule="exact"/>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云服务器</w:t>
            </w:r>
          </w:p>
        </w:tc>
        <w:tc>
          <w:tcPr>
            <w:tcW w:w="283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16核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内存：32G</w:t>
            </w:r>
          </w:p>
          <w:p>
            <w:pPr>
              <w:spacing w:line="240" w:lineRule="exact"/>
              <w:jc w:val="left"/>
              <w:rPr>
                <w:rFonts w:ascii="宋体" w:hAnsi="宋体" w:eastAsia="宋体" w:cs="宋体"/>
                <w:sz w:val="18"/>
                <w:szCs w:val="18"/>
              </w:rPr>
            </w:pPr>
            <w:r>
              <w:rPr>
                <w:rFonts w:hint="eastAsia" w:ascii="宋体" w:hAnsi="宋体" w:eastAsia="宋体" w:cs="宋体"/>
                <w:sz w:val="18"/>
                <w:szCs w:val="18"/>
              </w:rPr>
              <w:t>存储空间：600G</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2台</w:t>
            </w:r>
          </w:p>
        </w:tc>
        <w:tc>
          <w:tcPr>
            <w:tcW w:w="2588" w:type="dxa"/>
            <w:vMerge w:val="continue"/>
            <w:tcBorders>
              <w:left w:val="single" w:color="auto" w:sz="4" w:space="0"/>
              <w:right w:val="single" w:color="auto" w:sz="4" w:space="0"/>
            </w:tcBorders>
            <w:vAlign w:val="center"/>
          </w:tcPr>
          <w:p>
            <w:pPr>
              <w:spacing w:line="240" w:lineRule="exact"/>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line="240" w:lineRule="exact"/>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云服务器</w:t>
            </w:r>
          </w:p>
        </w:tc>
        <w:tc>
          <w:tcPr>
            <w:tcW w:w="283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8核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内存：16G</w:t>
            </w:r>
          </w:p>
          <w:p>
            <w:pPr>
              <w:spacing w:line="240" w:lineRule="exact"/>
              <w:jc w:val="left"/>
              <w:rPr>
                <w:rFonts w:ascii="宋体" w:hAnsi="宋体" w:eastAsia="宋体" w:cs="宋体"/>
                <w:sz w:val="18"/>
                <w:szCs w:val="18"/>
              </w:rPr>
            </w:pPr>
            <w:r>
              <w:rPr>
                <w:rFonts w:hint="eastAsia" w:ascii="宋体" w:hAnsi="宋体" w:eastAsia="宋体" w:cs="宋体"/>
                <w:sz w:val="18"/>
                <w:szCs w:val="18"/>
              </w:rPr>
              <w:t>存储空间：600G</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1台</w:t>
            </w:r>
          </w:p>
        </w:tc>
        <w:tc>
          <w:tcPr>
            <w:tcW w:w="2588" w:type="dxa"/>
            <w:vMerge w:val="continue"/>
            <w:tcBorders>
              <w:left w:val="single" w:color="auto" w:sz="4" w:space="0"/>
              <w:right w:val="single" w:color="auto" w:sz="4" w:space="0"/>
            </w:tcBorders>
            <w:vAlign w:val="center"/>
          </w:tcPr>
          <w:p>
            <w:pPr>
              <w:spacing w:line="240" w:lineRule="exact"/>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line="240" w:lineRule="exact"/>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云服务器</w:t>
            </w:r>
          </w:p>
        </w:tc>
        <w:tc>
          <w:tcPr>
            <w:tcW w:w="283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8核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内存：16G</w:t>
            </w:r>
          </w:p>
          <w:p>
            <w:pPr>
              <w:spacing w:line="240" w:lineRule="exact"/>
              <w:jc w:val="left"/>
              <w:rPr>
                <w:rFonts w:ascii="宋体" w:hAnsi="宋体" w:eastAsia="宋体" w:cs="宋体"/>
                <w:sz w:val="18"/>
                <w:szCs w:val="18"/>
              </w:rPr>
            </w:pPr>
            <w:r>
              <w:rPr>
                <w:rFonts w:hint="eastAsia" w:ascii="宋体" w:hAnsi="宋体" w:eastAsia="宋体" w:cs="宋体"/>
                <w:sz w:val="18"/>
                <w:szCs w:val="18"/>
              </w:rPr>
              <w:t>存储空间：1000G</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1台</w:t>
            </w:r>
          </w:p>
        </w:tc>
        <w:tc>
          <w:tcPr>
            <w:tcW w:w="2588" w:type="dxa"/>
            <w:vMerge w:val="continue"/>
            <w:tcBorders>
              <w:left w:val="single" w:color="auto" w:sz="4" w:space="0"/>
              <w:right w:val="single" w:color="auto" w:sz="4" w:space="0"/>
            </w:tcBorders>
            <w:vAlign w:val="center"/>
          </w:tcPr>
          <w:p>
            <w:pPr>
              <w:spacing w:line="240" w:lineRule="exact"/>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line="240" w:lineRule="exact"/>
              <w:ind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云服务器</w:t>
            </w:r>
          </w:p>
        </w:tc>
        <w:tc>
          <w:tcPr>
            <w:tcW w:w="2831"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eastAsia="宋体" w:cs="宋体"/>
                <w:sz w:val="18"/>
                <w:szCs w:val="18"/>
              </w:rPr>
            </w:pPr>
            <w:r>
              <w:rPr>
                <w:rFonts w:hint="eastAsia" w:ascii="宋体" w:hAnsi="宋体" w:eastAsia="宋体" w:cs="宋体"/>
                <w:sz w:val="18"/>
                <w:szCs w:val="18"/>
              </w:rPr>
              <w:t>CPU：2.4G 8核</w:t>
            </w:r>
          </w:p>
          <w:p>
            <w:pPr>
              <w:spacing w:line="240" w:lineRule="exact"/>
              <w:jc w:val="left"/>
              <w:rPr>
                <w:rFonts w:ascii="宋体" w:hAnsi="宋体" w:eastAsia="宋体" w:cs="宋体"/>
                <w:sz w:val="18"/>
                <w:szCs w:val="18"/>
              </w:rPr>
            </w:pPr>
            <w:r>
              <w:rPr>
                <w:rFonts w:hint="eastAsia" w:ascii="宋体" w:hAnsi="宋体" w:eastAsia="宋体" w:cs="宋体"/>
                <w:sz w:val="18"/>
                <w:szCs w:val="18"/>
              </w:rPr>
              <w:t>内存：8G</w:t>
            </w:r>
          </w:p>
          <w:p>
            <w:pPr>
              <w:spacing w:line="240" w:lineRule="exact"/>
              <w:jc w:val="left"/>
              <w:rPr>
                <w:rFonts w:ascii="宋体" w:hAnsi="宋体" w:eastAsia="宋体" w:cs="宋体"/>
                <w:sz w:val="18"/>
                <w:szCs w:val="18"/>
              </w:rPr>
            </w:pPr>
            <w:r>
              <w:rPr>
                <w:rFonts w:hint="eastAsia" w:ascii="宋体" w:hAnsi="宋体" w:eastAsia="宋体" w:cs="宋体"/>
                <w:sz w:val="18"/>
                <w:szCs w:val="18"/>
              </w:rPr>
              <w:t>存储空间：500G</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1台</w:t>
            </w:r>
          </w:p>
        </w:tc>
        <w:tc>
          <w:tcPr>
            <w:tcW w:w="2588" w:type="dxa"/>
            <w:vMerge w:val="continue"/>
            <w:tcBorders>
              <w:left w:val="single" w:color="auto" w:sz="4" w:space="0"/>
              <w:right w:val="single" w:color="auto" w:sz="4" w:space="0"/>
            </w:tcBorders>
            <w:vAlign w:val="center"/>
          </w:tcPr>
          <w:p>
            <w:pPr>
              <w:spacing w:line="240" w:lineRule="exact"/>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58"/>
              <w:tabs>
                <w:tab w:val="left" w:pos="1260"/>
              </w:tabs>
              <w:spacing w:line="240" w:lineRule="exact"/>
              <w:ind w:firstLine="0" w:firstLineChars="0"/>
              <w:jc w:val="center"/>
              <w:rPr>
                <w:rFonts w:ascii="宋体" w:hAnsi="宋体" w:eastAsia="宋体" w:cs="宋体"/>
                <w:sz w:val="18"/>
                <w:szCs w:val="18"/>
              </w:rPr>
            </w:pPr>
            <w:r>
              <w:rPr>
                <w:rFonts w:hint="eastAsia" w:ascii="宋体" w:hAnsi="宋体" w:eastAsia="宋体" w:cs="宋体"/>
                <w:sz w:val="18"/>
                <w:szCs w:val="18"/>
              </w:rPr>
              <w:t>6</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云安全服务</w:t>
            </w:r>
          </w:p>
        </w:tc>
        <w:tc>
          <w:tcPr>
            <w:tcW w:w="283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sz w:val="18"/>
                <w:szCs w:val="18"/>
              </w:rPr>
            </w:pPr>
            <w:r>
              <w:rPr>
                <w:rFonts w:hint="eastAsia" w:ascii="宋体" w:hAnsi="宋体" w:eastAsia="宋体" w:cs="宋体"/>
                <w:sz w:val="18"/>
                <w:szCs w:val="18"/>
              </w:rPr>
              <w:t>包含WAF、防火墙、日志审计、安全堡垒机、病毒查杀、网站后门查杀、漏洞管理、性能监控、主机防火墙、WEB应用防护、登录防护、防端口扫描等云安全功能。</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1项</w:t>
            </w:r>
          </w:p>
        </w:tc>
        <w:tc>
          <w:tcPr>
            <w:tcW w:w="2588" w:type="dxa"/>
            <w:tcBorders>
              <w:left w:val="single" w:color="auto" w:sz="4" w:space="0"/>
              <w:right w:val="single" w:color="auto" w:sz="4" w:space="0"/>
            </w:tcBorders>
            <w:vAlign w:val="center"/>
          </w:tcPr>
          <w:p>
            <w:pPr>
              <w:spacing w:line="240" w:lineRule="exact"/>
              <w:jc w:val="left"/>
              <w:rPr>
                <w:rFonts w:ascii="宋体" w:hAnsi="宋体" w:eastAsia="宋体" w:cs="宋体"/>
                <w:sz w:val="18"/>
                <w:szCs w:val="18"/>
              </w:rPr>
            </w:pPr>
            <w:r>
              <w:rPr>
                <w:rFonts w:hint="eastAsia" w:ascii="宋体" w:hAnsi="宋体" w:eastAsia="宋体" w:cs="宋体"/>
                <w:sz w:val="18"/>
                <w:szCs w:val="18"/>
              </w:rPr>
              <w:t>注：</w:t>
            </w:r>
          </w:p>
          <w:p>
            <w:pPr>
              <w:spacing w:line="240" w:lineRule="exact"/>
              <w:jc w:val="left"/>
              <w:rPr>
                <w:rFonts w:ascii="宋体" w:hAnsi="宋体" w:eastAsia="宋体" w:cs="宋体"/>
                <w:sz w:val="18"/>
                <w:szCs w:val="18"/>
              </w:rPr>
            </w:pPr>
            <w:r>
              <w:rPr>
                <w:rFonts w:hint="eastAsia" w:ascii="宋体" w:hAnsi="宋体" w:eastAsia="宋体" w:cs="宋体"/>
                <w:sz w:val="18"/>
                <w:szCs w:val="18"/>
              </w:rPr>
              <w:t>1、技术参数仅为最低要求，提供的云安全功能必须本项目软件平台通过二级等保认证。</w:t>
            </w:r>
          </w:p>
          <w:p>
            <w:pPr>
              <w:spacing w:line="240" w:lineRule="exact"/>
              <w:jc w:val="left"/>
              <w:rPr>
                <w:rFonts w:ascii="宋体" w:hAnsi="宋体" w:eastAsia="宋体" w:cs="宋体"/>
                <w:sz w:val="18"/>
                <w:szCs w:val="18"/>
              </w:rPr>
            </w:pPr>
            <w:r>
              <w:rPr>
                <w:rFonts w:hint="eastAsia" w:ascii="宋体" w:hAnsi="宋体" w:eastAsia="宋体" w:cs="宋体"/>
                <w:sz w:val="18"/>
                <w:szCs w:val="18"/>
              </w:rPr>
              <w:t>2、至少三年免费使用期</w:t>
            </w:r>
          </w:p>
        </w:tc>
      </w:tr>
    </w:tbl>
    <w:p>
      <w:pPr>
        <w:spacing w:before="120" w:beforeLines="50" w:after="120" w:afterLines="50"/>
        <w:ind w:firstLine="422" w:firstLineChars="200"/>
        <w:rPr>
          <w:rFonts w:ascii="宋体" w:hAnsi="宋体" w:eastAsia="宋体" w:cs="宋体"/>
          <w:b/>
          <w:szCs w:val="21"/>
        </w:rPr>
      </w:pPr>
      <w:r>
        <w:rPr>
          <w:rFonts w:hint="eastAsia" w:ascii="宋体" w:hAnsi="宋体" w:eastAsia="宋体" w:cs="宋体"/>
          <w:b/>
          <w:szCs w:val="21"/>
        </w:rPr>
        <w:t>3.4.2云服务器技术要求</w:t>
      </w:r>
    </w:p>
    <w:p>
      <w:pPr>
        <w:ind w:firstLine="422" w:firstLineChars="200"/>
        <w:rPr>
          <w:rFonts w:ascii="宋体" w:hAnsi="宋体" w:eastAsia="宋体" w:cs="宋体"/>
          <w:b/>
          <w:bCs/>
          <w:szCs w:val="21"/>
        </w:rPr>
      </w:pPr>
      <w:r>
        <w:rPr>
          <w:rFonts w:hint="eastAsia" w:ascii="宋体" w:hAnsi="宋体" w:eastAsia="宋体" w:cs="宋体"/>
          <w:b/>
          <w:bCs/>
          <w:szCs w:val="21"/>
        </w:rPr>
        <w:t>1）云服务基本要求</w:t>
      </w:r>
    </w:p>
    <w:p>
      <w:pPr>
        <w:ind w:firstLine="420" w:firstLineChars="200"/>
        <w:rPr>
          <w:rFonts w:ascii="宋体" w:hAnsi="宋体" w:eastAsia="宋体" w:cs="宋体"/>
          <w:szCs w:val="21"/>
        </w:rPr>
      </w:pPr>
      <w:r>
        <w:rPr>
          <w:rFonts w:hint="eastAsia" w:ascii="宋体" w:hAnsi="宋体" w:eastAsia="宋体" w:cs="宋体"/>
          <w:szCs w:val="21"/>
        </w:rPr>
        <w:t>（1）★云服务交付使用期：本项目在合同签订后15天内提供</w:t>
      </w:r>
      <w:r>
        <w:rPr>
          <w:rFonts w:hint="eastAsia" w:ascii="宋体" w:hAnsi="宋体" w:eastAsia="宋体" w:cs="宋体"/>
          <w:b/>
          <w:szCs w:val="21"/>
        </w:rPr>
        <w:t>政务云、云安全、互联网出口、专线服务。</w:t>
      </w:r>
    </w:p>
    <w:p>
      <w:pPr>
        <w:ind w:firstLine="420" w:firstLineChars="200"/>
        <w:rPr>
          <w:rFonts w:ascii="宋体" w:hAnsi="宋体" w:eastAsia="宋体" w:cs="宋体"/>
          <w:szCs w:val="21"/>
        </w:rPr>
      </w:pPr>
      <w:r>
        <w:rPr>
          <w:rFonts w:hint="eastAsia" w:ascii="宋体" w:hAnsi="宋体" w:eastAsia="宋体" w:cs="宋体"/>
          <w:szCs w:val="21"/>
        </w:rPr>
        <w:t>（2）运维保障能力：7*24小时运行值班监控，专门配属具备多年云平台维护经验的运维人员，应支持电话、网上值班等响应方式。</w:t>
      </w:r>
    </w:p>
    <w:p>
      <w:pPr>
        <w:ind w:firstLine="422" w:firstLineChars="200"/>
        <w:rPr>
          <w:rFonts w:ascii="宋体" w:hAnsi="宋体" w:eastAsia="宋体" w:cs="宋体"/>
          <w:b/>
          <w:bCs/>
          <w:szCs w:val="21"/>
        </w:rPr>
      </w:pPr>
      <w:r>
        <w:rPr>
          <w:rFonts w:hint="eastAsia" w:ascii="宋体" w:hAnsi="宋体" w:eastAsia="宋体" w:cs="宋体"/>
          <w:b/>
          <w:bCs/>
          <w:szCs w:val="21"/>
        </w:rPr>
        <w:t>2）机房保障</w:t>
      </w:r>
    </w:p>
    <w:p>
      <w:pPr>
        <w:ind w:firstLine="420" w:firstLineChars="200"/>
        <w:rPr>
          <w:rFonts w:ascii="宋体" w:hAnsi="宋体" w:eastAsia="宋体" w:cs="宋体"/>
          <w:szCs w:val="21"/>
        </w:rPr>
      </w:pPr>
      <w:r>
        <w:rPr>
          <w:rFonts w:hint="eastAsia" w:ascii="宋体" w:hAnsi="宋体" w:eastAsia="宋体" w:cs="宋体"/>
          <w:szCs w:val="21"/>
        </w:rPr>
        <w:t>（1）★机房标准：满足GB 50174-2008 《电子信息系统机房设计规范》中的A级要求，或者系统内部五星级数据中心标准。</w:t>
      </w:r>
    </w:p>
    <w:p>
      <w:pPr>
        <w:ind w:firstLine="420" w:firstLineChars="200"/>
        <w:rPr>
          <w:rFonts w:ascii="宋体" w:hAnsi="宋体" w:eastAsia="宋体" w:cs="宋体"/>
          <w:szCs w:val="21"/>
        </w:rPr>
      </w:pPr>
      <w:r>
        <w:rPr>
          <w:rFonts w:hint="eastAsia" w:ascii="宋体" w:hAnsi="宋体" w:eastAsia="宋体" w:cs="宋体"/>
          <w:szCs w:val="21"/>
        </w:rPr>
        <w:t>（2）★电源保障：①保证7*24小时电力供应，供电保障系统需配置保障油机1500KWA或更高的规格,并实现油机1+1备份。②不间断电源系统需配置400KVA（1+1）或更高的UPS规格。</w:t>
      </w:r>
    </w:p>
    <w:p>
      <w:pPr>
        <w:ind w:firstLine="420" w:firstLineChars="200"/>
        <w:rPr>
          <w:rFonts w:ascii="宋体" w:hAnsi="宋体" w:eastAsia="宋体" w:cs="宋体"/>
          <w:szCs w:val="21"/>
        </w:rPr>
      </w:pPr>
      <w:r>
        <w:rPr>
          <w:rFonts w:hint="eastAsia" w:ascii="宋体" w:hAnsi="宋体" w:eastAsia="宋体" w:cs="宋体"/>
          <w:szCs w:val="21"/>
        </w:rPr>
        <w:t>（3）★智能空调：配备机房专用恒温恒湿精密空调，实现N+2冗余配置(N&gt;=10)。</w:t>
      </w:r>
    </w:p>
    <w:p>
      <w:pPr>
        <w:ind w:firstLine="420" w:firstLineChars="200"/>
        <w:rPr>
          <w:rFonts w:ascii="宋体" w:hAnsi="宋体" w:eastAsia="宋体" w:cs="宋体"/>
          <w:szCs w:val="21"/>
        </w:rPr>
      </w:pPr>
      <w:r>
        <w:rPr>
          <w:rFonts w:hint="eastAsia" w:ascii="宋体" w:hAnsi="宋体" w:eastAsia="宋体" w:cs="宋体"/>
          <w:szCs w:val="21"/>
        </w:rPr>
        <w:t>（4）★监控保障：提供360°全方位的监控保障，机房基础安全设施需配置管网式气体消防、早期烟雾告警、门禁系统等系统。</w:t>
      </w:r>
    </w:p>
    <w:p>
      <w:pPr>
        <w:ind w:firstLine="420" w:firstLineChars="200"/>
        <w:rPr>
          <w:rFonts w:ascii="宋体" w:hAnsi="宋体" w:eastAsia="宋体" w:cs="宋体"/>
          <w:szCs w:val="21"/>
        </w:rPr>
      </w:pPr>
      <w:r>
        <w:rPr>
          <w:rFonts w:hint="eastAsia" w:ascii="宋体" w:hAnsi="宋体" w:eastAsia="宋体" w:cs="宋体"/>
          <w:szCs w:val="21"/>
        </w:rPr>
        <w:t>（5）★总体要求：支持虚拟化操作系统、云计算自服务门户、业务流程、云计费管理、云安全系统、云运维管理、云备份等各系统之间灵活调用和相互协调、最终实现自动化运维。</w:t>
      </w:r>
    </w:p>
    <w:p>
      <w:pPr>
        <w:ind w:firstLine="422" w:firstLineChars="200"/>
        <w:rPr>
          <w:rFonts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szCs w:val="21"/>
        </w:rPr>
        <w:t>★</w:t>
      </w:r>
      <w:r>
        <w:rPr>
          <w:rFonts w:hint="eastAsia" w:ascii="宋体" w:hAnsi="宋体" w:eastAsia="宋体" w:cs="宋体"/>
          <w:b/>
          <w:bCs/>
          <w:szCs w:val="21"/>
        </w:rPr>
        <w:t>云平台架构</w:t>
      </w:r>
    </w:p>
    <w:p>
      <w:pPr>
        <w:ind w:firstLine="420" w:firstLineChars="200"/>
        <w:rPr>
          <w:rFonts w:ascii="宋体" w:hAnsi="宋体" w:eastAsia="宋体" w:cs="宋体"/>
          <w:szCs w:val="21"/>
        </w:rPr>
      </w:pPr>
      <w:r>
        <w:rPr>
          <w:rFonts w:hint="eastAsia" w:ascii="宋体" w:hAnsi="宋体" w:eastAsia="宋体" w:cs="宋体"/>
          <w:szCs w:val="21"/>
        </w:rPr>
        <w:t>总体要求、基本功能：①云平台获得ISO/IEC 27001：2013国际认证。②云主机CPU核数可选范围1-16核，64G内存、8TB数据盘③企业内网专用100M链路。互联网出口独享带宽可选范围10-100Mb。</w:t>
      </w:r>
    </w:p>
    <w:p>
      <w:pPr>
        <w:ind w:firstLine="422" w:firstLineChars="200"/>
        <w:rPr>
          <w:rFonts w:ascii="宋体" w:hAnsi="宋体" w:eastAsia="宋体" w:cs="宋体"/>
          <w:b/>
          <w:bCs/>
          <w:szCs w:val="21"/>
        </w:rPr>
      </w:pPr>
      <w:r>
        <w:rPr>
          <w:rFonts w:hint="eastAsia" w:ascii="宋体" w:hAnsi="宋体" w:eastAsia="宋体" w:cs="宋体"/>
          <w:b/>
          <w:bCs/>
          <w:szCs w:val="21"/>
        </w:rPr>
        <w:t>4）云主机功能</w:t>
      </w:r>
    </w:p>
    <w:p>
      <w:pPr>
        <w:ind w:firstLine="420" w:firstLineChars="200"/>
        <w:rPr>
          <w:rFonts w:ascii="宋体" w:hAnsi="宋体" w:eastAsia="宋体" w:cs="宋体"/>
          <w:szCs w:val="21"/>
        </w:rPr>
      </w:pPr>
      <w:r>
        <w:rPr>
          <w:rFonts w:hint="eastAsia" w:ascii="宋体" w:hAnsi="宋体" w:eastAsia="宋体" w:cs="宋体"/>
          <w:szCs w:val="21"/>
        </w:rPr>
        <w:t>（1）基本功能、扩展功能：①虚拟主机支持主流的WINDOWS、LINUX等操作系统，兼容常见的操作系统。②支持SATA磁盘块存储和SSD高性能块存储两种分布式存储规格。③按需开通。根据用户的需求动态的创建和分配计算、存储、网络带宽等资源；用户可以在线按时长购买云主机，并支持任意时刻的续费管理。④云主机创建。创建后，云主机已包含有操作系统，可立即使用，从创建到启动在5分钟以内。</w:t>
      </w:r>
    </w:p>
    <w:p>
      <w:pPr>
        <w:ind w:firstLine="420" w:firstLineChars="200"/>
        <w:rPr>
          <w:rFonts w:ascii="宋体" w:hAnsi="宋体" w:eastAsia="宋体" w:cs="宋体"/>
          <w:szCs w:val="21"/>
        </w:rPr>
      </w:pPr>
      <w:r>
        <w:rPr>
          <w:rFonts w:hint="eastAsia" w:ascii="宋体" w:hAnsi="宋体" w:eastAsia="宋体" w:cs="宋体"/>
          <w:szCs w:val="21"/>
        </w:rPr>
        <w:t>（2）扩展功能、管理功能：①云主机升级。当云主机现有配置不满足要求时，用户可自主进行云主机配置快速升级，可升级配置包括：CPU，内存，网络带宽等；配置升级生效时间在10分钟以内。②云主机克隆。指创建一台跟现有云主机一模一样的机器，根据云主机数据盘的大小整个克隆过程一般在15分钟以内。③云主机迁移。云平台根据物理主机负载情况综合调度，将云主机在不停机状态下从一台物理主机迁移到另外一台物理主机；在线迁移时，云主机应用完全不中断，用户完全无感知。④提供用户自服务门户和API接口，用户可自行创建不同规格的虚拟主机，自定义CPU、内存、网络、磁盘等属性。⑤提供虚拟主机的动态升级、快照备份、性能监测分析、异常告警、日志管理等功能。</w:t>
      </w:r>
    </w:p>
    <w:p>
      <w:pPr>
        <w:ind w:firstLine="420" w:firstLineChars="200"/>
        <w:rPr>
          <w:rFonts w:ascii="宋体" w:hAnsi="宋体" w:eastAsia="宋体" w:cs="宋体"/>
          <w:szCs w:val="21"/>
        </w:rPr>
      </w:pPr>
      <w:r>
        <w:rPr>
          <w:rFonts w:hint="eastAsia" w:ascii="宋体" w:hAnsi="宋体" w:eastAsia="宋体" w:cs="宋体"/>
          <w:szCs w:val="21"/>
        </w:rPr>
        <w:t>（3）管理功能可靠性：①提供快照和自定义镜像能力，支持对运行或停止状态的虚拟主机生成快照，应提供分钟级别快照回滚功能。②数据备份。云主机数据在云计算平台有三份（含）以上数据拷贝，单份数据损坏对云主机使用没任何影响，且一份数据损坏后，后台系统会自动拷贝，使数据始终保证三重备份。③磁盘快照。需要提供云主机任一时刻的磁盘快照功能，含快照制作，快照回滚，快照恢复等。</w:t>
      </w:r>
    </w:p>
    <w:p>
      <w:pPr>
        <w:ind w:firstLine="420" w:firstLineChars="200"/>
        <w:rPr>
          <w:rFonts w:ascii="宋体" w:hAnsi="宋体" w:eastAsia="宋体" w:cs="宋体"/>
          <w:szCs w:val="21"/>
        </w:rPr>
      </w:pPr>
      <w:r>
        <w:rPr>
          <w:rFonts w:hint="eastAsia" w:ascii="宋体" w:hAnsi="宋体" w:eastAsia="宋体" w:cs="宋体"/>
          <w:szCs w:val="21"/>
        </w:rPr>
        <w:t>（4）可靠性、安全性：①故障恢复。云主机发生故障后，切换恢复时间在30分钟以内。②虚拟主机服务采用全冗余架构，无单点故障，平均可用性不低于99.9%。③防ARP欺骗，防DDos攻击，提供流量清洗服务④用户可自助开通安全组，并定义安全组规则。</w:t>
      </w:r>
    </w:p>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4、信息系统安全等级保护要求</w:t>
      </w:r>
    </w:p>
    <w:p>
      <w:pPr>
        <w:ind w:firstLine="422" w:firstLineChars="200"/>
        <w:rPr>
          <w:rFonts w:ascii="宋体" w:hAnsi="宋体" w:eastAsia="宋体" w:cs="宋体"/>
          <w:b/>
          <w:bCs/>
          <w:szCs w:val="21"/>
          <w:highlight w:val="none"/>
        </w:rPr>
      </w:pPr>
      <w:r>
        <w:rPr>
          <w:rFonts w:hint="eastAsia" w:ascii="宋体" w:hAnsi="宋体" w:eastAsia="宋体" w:cs="宋体"/>
          <w:b/>
          <w:bCs/>
          <w:szCs w:val="21"/>
        </w:rPr>
        <w:t>系统的软</w:t>
      </w:r>
      <w:r>
        <w:rPr>
          <w:rFonts w:hint="eastAsia" w:ascii="宋体" w:hAnsi="宋体" w:eastAsia="宋体" w:cs="宋体"/>
          <w:b/>
          <w:bCs/>
          <w:szCs w:val="21"/>
          <w:highlight w:val="none"/>
        </w:rPr>
        <w:t>件设计、编码、数据传输以及与其他系统的接口、数据链路控制规程、测试等均须符合和遵循相应的国家标准。</w:t>
      </w:r>
    </w:p>
    <w:p>
      <w:pPr>
        <w:ind w:firstLine="422" w:firstLineChars="200"/>
        <w:rPr>
          <w:rFonts w:ascii="宋体" w:hAnsi="宋体" w:eastAsia="宋体" w:cs="宋体"/>
          <w:b/>
          <w:szCs w:val="21"/>
          <w:highlight w:val="none"/>
        </w:rPr>
      </w:pPr>
      <w:r>
        <w:rPr>
          <w:rFonts w:hint="eastAsia" w:ascii="宋体" w:hAnsi="宋体" w:eastAsia="宋体" w:cs="宋体"/>
          <w:b/>
          <w:bCs/>
          <w:szCs w:val="21"/>
          <w:highlight w:val="none"/>
        </w:rPr>
        <w:t>系统的设计、开发、制造、调试和维护的全生命周期安全保证体系应满足中国相关标准，符合国家关于《信息安全等级保护管理办法》（按照国家、浙江省、温州市最新发布的法律法规、规范最新版本执行）信息安全等保二级及以上标准要求，</w:t>
      </w:r>
      <w:r>
        <w:rPr>
          <w:rFonts w:hint="eastAsia" w:ascii="宋体" w:hAnsi="宋体" w:eastAsia="宋体" w:cs="宋体"/>
          <w:b/>
          <w:bCs/>
          <w:szCs w:val="21"/>
          <w:highlight w:val="none"/>
          <w:lang w:val="en-US" w:eastAsia="zh-CN"/>
        </w:rPr>
        <w:t>供应商申请终验时</w:t>
      </w:r>
      <w:r>
        <w:rPr>
          <w:rFonts w:hint="eastAsia" w:ascii="宋体" w:hAnsi="宋体" w:eastAsia="宋体" w:cs="宋体"/>
          <w:b/>
          <w:bCs/>
          <w:szCs w:val="21"/>
          <w:highlight w:val="none"/>
        </w:rPr>
        <w:t>，须提供第三方检测机构出具的《信息系统安全等级测评报告》，第三方测评机构须具备公安部颁发的信息安全等级保护测评机构能力评估合格证书，对于因供应商原因造成的采购人无法取得二级等保认证,或出现信息安全问题，供应商需要承担全部责任。</w:t>
      </w:r>
    </w:p>
    <w:p>
      <w:pPr>
        <w:pStyle w:val="2"/>
        <w:ind w:firstLine="0" w:firstLineChars="0"/>
        <w:rPr>
          <w:rFonts w:ascii="宋体" w:hAnsi="宋体" w:eastAsia="宋体" w:cs="宋体"/>
          <w:b/>
          <w:bCs/>
        </w:rPr>
      </w:pPr>
    </w:p>
    <w:p>
      <w:pPr>
        <w:spacing w:line="360" w:lineRule="auto"/>
        <w:rPr>
          <w:rFonts w:ascii="宋体" w:hAnsi="宋体" w:eastAsia="宋体" w:cs="宋体"/>
        </w:rPr>
      </w:pPr>
      <w:r>
        <w:rPr>
          <w:rFonts w:hint="eastAsia" w:ascii="宋体" w:hAnsi="宋体" w:eastAsia="宋体" w:cs="宋体"/>
          <w:b/>
          <w:bCs/>
          <w:sz w:val="22"/>
        </w:rPr>
        <w:t>三、数字化平台项目技术规范书</w:t>
      </w:r>
    </w:p>
    <w:p>
      <w:pPr>
        <w:pStyle w:val="50"/>
        <w:ind w:firstLine="422"/>
        <w:rPr>
          <w:rFonts w:ascii="宋体" w:hAnsi="宋体" w:eastAsia="宋体" w:cs="宋体"/>
        </w:rPr>
      </w:pPr>
      <w:r>
        <w:rPr>
          <w:rFonts w:hint="eastAsia" w:ascii="宋体" w:hAnsi="宋体" w:eastAsia="宋体" w:cs="宋体"/>
          <w:b/>
          <w:bCs/>
          <w:kern w:val="0"/>
          <w:szCs w:val="21"/>
        </w:rPr>
        <w:t>详见附件“温州市交通发展集团数字化平台项目技术规范书”。</w:t>
      </w:r>
    </w:p>
    <w:bookmarkEnd w:id="380"/>
    <w:p>
      <w:pPr>
        <w:pStyle w:val="2"/>
        <w:ind w:firstLine="210"/>
        <w:rPr>
          <w:rFonts w:ascii="宋体" w:hAnsi="宋体" w:eastAsia="宋体" w:cs="宋体"/>
          <w:highlight w:val="cyan"/>
        </w:rPr>
      </w:pPr>
    </w:p>
    <w:p>
      <w:pPr>
        <w:ind w:firstLine="420" w:firstLineChars="200"/>
        <w:rPr>
          <w:rFonts w:ascii="宋体" w:hAnsi="宋体" w:eastAsia="宋体" w:cs="宋体"/>
        </w:rPr>
        <w:sectPr>
          <w:headerReference r:id="rId8" w:type="default"/>
          <w:footerReference r:id="rId9" w:type="default"/>
          <w:pgSz w:w="11906" w:h="16838"/>
          <w:pgMar w:top="1474" w:right="1474" w:bottom="1417" w:left="1474" w:header="737" w:footer="737" w:gutter="0"/>
          <w:cols w:space="720" w:num="1"/>
          <w:docGrid w:linePitch="312" w:charSpace="0"/>
        </w:sectPr>
      </w:pPr>
    </w:p>
    <w:p>
      <w:pPr>
        <w:keepNext/>
        <w:jc w:val="center"/>
        <w:outlineLvl w:val="0"/>
        <w:rPr>
          <w:rFonts w:ascii="宋体" w:hAnsi="宋体" w:eastAsia="宋体" w:cs="宋体"/>
          <w:b/>
          <w:bCs/>
          <w:sz w:val="36"/>
          <w:szCs w:val="36"/>
        </w:rPr>
      </w:pPr>
      <w:r>
        <w:rPr>
          <w:rFonts w:hint="eastAsia" w:ascii="宋体" w:hAnsi="宋体" w:eastAsia="宋体" w:cs="宋体"/>
          <w:b/>
          <w:bCs/>
          <w:sz w:val="36"/>
          <w:szCs w:val="36"/>
        </w:rPr>
        <w:t>第五部分   评标原则及方法</w:t>
      </w:r>
      <w:bookmarkEnd w:id="382"/>
      <w:bookmarkEnd w:id="383"/>
      <w:bookmarkEnd w:id="384"/>
      <w:bookmarkEnd w:id="386"/>
      <w:bookmarkEnd w:id="387"/>
      <w:bookmarkEnd w:id="388"/>
      <w:bookmarkEnd w:id="389"/>
      <w:bookmarkEnd w:id="390"/>
      <w:bookmarkEnd w:id="391"/>
      <w:bookmarkEnd w:id="392"/>
      <w:bookmarkEnd w:id="393"/>
      <w:bookmarkEnd w:id="394"/>
      <w:bookmarkEnd w:id="395"/>
      <w:bookmarkEnd w:id="396"/>
      <w:bookmarkEnd w:id="397"/>
      <w:bookmarkEnd w:id="398"/>
    </w:p>
    <w:p>
      <w:pPr>
        <w:jc w:val="center"/>
        <w:rPr>
          <w:rFonts w:ascii="宋体" w:hAnsi="宋体" w:eastAsia="宋体" w:cs="宋体"/>
          <w:sz w:val="22"/>
        </w:rPr>
      </w:pPr>
    </w:p>
    <w:p>
      <w:pPr>
        <w:ind w:firstLine="440" w:firstLineChars="200"/>
        <w:rPr>
          <w:rFonts w:ascii="宋体" w:hAnsi="宋体" w:eastAsia="宋体" w:cs="宋体"/>
          <w:sz w:val="22"/>
        </w:rPr>
      </w:pPr>
      <w:r>
        <w:rPr>
          <w:rFonts w:hint="eastAsia" w:ascii="宋体" w:hAnsi="宋体" w:eastAsia="宋体" w:cs="宋体"/>
          <w:sz w:val="22"/>
        </w:rPr>
        <w:t>本项目属非政府采购项目，根据《温州市市属国有企业采购管理办法（试行）》等有关法规、规定，结合本项目的实际，按照公平、公正、科学、择优的原则选择中标单位，特制定本评标办法。</w:t>
      </w:r>
    </w:p>
    <w:p>
      <w:pPr>
        <w:rPr>
          <w:rFonts w:ascii="宋体" w:hAnsi="宋体" w:eastAsia="宋体" w:cs="宋体"/>
          <w:sz w:val="22"/>
          <w:szCs w:val="24"/>
        </w:rPr>
      </w:pPr>
      <w:r>
        <w:rPr>
          <w:rFonts w:hint="eastAsia" w:ascii="宋体" w:hAnsi="宋体" w:eastAsia="宋体" w:cs="宋体"/>
          <w:sz w:val="22"/>
          <w:szCs w:val="24"/>
        </w:rPr>
        <w:t>一、总则</w:t>
      </w:r>
    </w:p>
    <w:p>
      <w:pPr>
        <w:ind w:firstLine="440" w:firstLineChars="200"/>
        <w:rPr>
          <w:rFonts w:ascii="宋体" w:hAnsi="宋体" w:eastAsia="宋体" w:cs="宋体"/>
          <w:sz w:val="22"/>
        </w:rPr>
      </w:pPr>
      <w:r>
        <w:rPr>
          <w:rFonts w:hint="eastAsia" w:ascii="宋体" w:hAnsi="宋体" w:eastAsia="宋体" w:cs="宋体"/>
          <w:sz w:val="22"/>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ascii="宋体" w:hAnsi="宋体" w:eastAsia="宋体" w:cs="宋体"/>
          <w:sz w:val="22"/>
          <w:szCs w:val="24"/>
        </w:rPr>
      </w:pPr>
      <w:r>
        <w:rPr>
          <w:rFonts w:hint="eastAsia" w:ascii="宋体" w:hAnsi="宋体" w:eastAsia="宋体" w:cs="宋体"/>
          <w:sz w:val="22"/>
          <w:szCs w:val="24"/>
        </w:rPr>
        <w:t>二、评标组织</w:t>
      </w:r>
    </w:p>
    <w:p>
      <w:pPr>
        <w:ind w:firstLine="440" w:firstLineChars="200"/>
        <w:rPr>
          <w:rFonts w:ascii="宋体" w:hAnsi="宋体" w:eastAsia="宋体" w:cs="宋体"/>
          <w:sz w:val="22"/>
        </w:rPr>
      </w:pPr>
      <w:r>
        <w:rPr>
          <w:rFonts w:hint="eastAsia" w:ascii="宋体" w:hAnsi="宋体" w:eastAsia="宋体" w:cs="宋体"/>
          <w:sz w:val="22"/>
        </w:rPr>
        <w:t>评标工作由采购人依法组建的评标委员会负责，评标全过程由有关部门指导监督。</w:t>
      </w:r>
    </w:p>
    <w:p>
      <w:pPr>
        <w:rPr>
          <w:rFonts w:ascii="宋体" w:hAnsi="宋体" w:eastAsia="宋体" w:cs="宋体"/>
          <w:sz w:val="22"/>
          <w:szCs w:val="24"/>
        </w:rPr>
      </w:pPr>
      <w:r>
        <w:rPr>
          <w:rFonts w:hint="eastAsia" w:ascii="宋体" w:hAnsi="宋体" w:eastAsia="宋体" w:cs="宋体"/>
          <w:sz w:val="22"/>
          <w:szCs w:val="24"/>
        </w:rPr>
        <w:t>三、评标程序</w:t>
      </w:r>
    </w:p>
    <w:p>
      <w:pPr>
        <w:ind w:firstLine="440" w:firstLineChars="200"/>
        <w:rPr>
          <w:rFonts w:ascii="宋体" w:hAnsi="宋体" w:eastAsia="宋体" w:cs="宋体"/>
          <w:sz w:val="22"/>
          <w:szCs w:val="24"/>
        </w:rPr>
      </w:pPr>
      <w:r>
        <w:rPr>
          <w:rFonts w:hint="eastAsia" w:ascii="宋体" w:hAnsi="宋体" w:eastAsia="宋体" w:cs="宋体"/>
          <w:sz w:val="22"/>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1、本项目评标的依据为采购文件和投标文件。</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2、先熟悉采购文件和评标办法。</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3、投标文件的初审：初审分为资格性检查和符合性检查。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（1）资格性检查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依据法律法规和采购文件的规定，对投标文件中的资格条件、投标保证金等进行审查，以确定投标人是否具备投标资格。</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（2）符合性检查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4、澄清有关问题</w:t>
      </w:r>
    </w:p>
    <w:p>
      <w:pPr>
        <w:adjustRightInd w:val="0"/>
        <w:snapToGrid w:val="0"/>
        <w:ind w:firstLine="440" w:firstLineChars="200"/>
        <w:rPr>
          <w:rFonts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、说明或补正）。澄清、说明或补正应以书面形式并由法定代表人（法定负责人）或其授权代表签署，但澄清内容不得超出投标文件的范围或者改变投标文件的实质性内容。</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ascii="宋体" w:hAnsi="宋体" w:eastAsia="宋体" w:cs="宋体"/>
          <w:szCs w:val="24"/>
        </w:rPr>
      </w:pPr>
      <w:r>
        <w:rPr>
          <w:rFonts w:hint="eastAsia" w:ascii="宋体" w:hAnsi="宋体" w:eastAsia="宋体" w:cs="宋体"/>
          <w:snapToGrid w:val="0"/>
          <w:kern w:val="0"/>
          <w:sz w:val="22"/>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7、完成评标报告。评标报告是评标委员会根据全体评标成员签字的原始评标记录和评标结果编写的报告。</w:t>
      </w:r>
    </w:p>
    <w:p>
      <w:pPr>
        <w:rPr>
          <w:rFonts w:ascii="宋体" w:hAnsi="宋体" w:eastAsia="宋体" w:cs="宋体"/>
          <w:sz w:val="22"/>
          <w:szCs w:val="24"/>
        </w:rPr>
      </w:pPr>
      <w:r>
        <w:rPr>
          <w:rFonts w:hint="eastAsia" w:ascii="宋体" w:hAnsi="宋体" w:eastAsia="宋体" w:cs="宋体"/>
          <w:sz w:val="22"/>
          <w:szCs w:val="24"/>
        </w:rPr>
        <w:t>四、评标办法</w:t>
      </w:r>
    </w:p>
    <w:p>
      <w:pPr>
        <w:ind w:firstLine="440" w:firstLineChars="200"/>
        <w:rPr>
          <w:rFonts w:ascii="宋体" w:hAnsi="宋体" w:eastAsia="宋体" w:cs="宋体"/>
          <w:sz w:val="22"/>
        </w:rPr>
      </w:pPr>
      <w:r>
        <w:rPr>
          <w:rFonts w:hint="eastAsia" w:ascii="宋体" w:hAnsi="宋体" w:eastAsia="宋体" w:cs="宋体"/>
          <w:sz w:val="22"/>
          <w:szCs w:val="24"/>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85分，商务（报价）分15分。</w:t>
      </w:r>
    </w:p>
    <w:p>
      <w:pPr>
        <w:rPr>
          <w:rFonts w:ascii="宋体" w:hAnsi="宋体" w:eastAsia="宋体" w:cs="宋体"/>
          <w:sz w:val="22"/>
          <w:szCs w:val="24"/>
        </w:rPr>
      </w:pPr>
      <w:r>
        <w:rPr>
          <w:rFonts w:hint="eastAsia" w:ascii="宋体" w:hAnsi="宋体" w:eastAsia="宋体" w:cs="宋体"/>
          <w:sz w:val="22"/>
          <w:szCs w:val="24"/>
        </w:rPr>
        <w:t>五、评分细则</w:t>
      </w:r>
    </w:p>
    <w:p>
      <w:pPr>
        <w:adjustRightInd w:val="0"/>
        <w:snapToGrid w:val="0"/>
        <w:rPr>
          <w:rFonts w:ascii="宋体" w:hAnsi="宋体" w:eastAsia="宋体" w:cs="宋体"/>
          <w:b/>
          <w:bCs/>
          <w:sz w:val="22"/>
        </w:rPr>
      </w:pPr>
      <w:r>
        <w:rPr>
          <w:rFonts w:hint="eastAsia" w:ascii="宋体" w:hAnsi="宋体" w:eastAsia="宋体" w:cs="宋体"/>
          <w:b/>
          <w:bCs/>
          <w:sz w:val="22"/>
        </w:rPr>
        <w:t>1、技术资信评审分值（85分）</w:t>
      </w:r>
    </w:p>
    <w:p>
      <w:pPr>
        <w:ind w:firstLine="440" w:firstLineChars="200"/>
        <w:rPr>
          <w:rFonts w:ascii="宋体" w:hAnsi="宋体" w:eastAsia="宋体" w:cs="宋体"/>
          <w:sz w:val="22"/>
          <w:szCs w:val="24"/>
        </w:rPr>
      </w:pPr>
      <w:r>
        <w:rPr>
          <w:rFonts w:hint="eastAsia" w:ascii="宋体" w:hAnsi="宋体" w:eastAsia="宋体" w:cs="宋体"/>
          <w:sz w:val="22"/>
          <w:szCs w:val="24"/>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2"/>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181"/>
        <w:gridCol w:w="598"/>
        <w:gridCol w:w="1030"/>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序号</w:t>
            </w:r>
          </w:p>
        </w:tc>
        <w:tc>
          <w:tcPr>
            <w:tcW w:w="634" w:type="pct"/>
            <w:vAlign w:val="center"/>
          </w:tcPr>
          <w:p>
            <w:pPr>
              <w:widowControl/>
              <w:adjustRightInd w:val="0"/>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评分内容</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满分值</w:t>
            </w:r>
          </w:p>
        </w:tc>
        <w:tc>
          <w:tcPr>
            <w:tcW w:w="3734" w:type="pct"/>
            <w:gridSpan w:val="2"/>
            <w:vAlign w:val="center"/>
          </w:tcPr>
          <w:p>
            <w:pPr>
              <w:adjustRightInd w:val="0"/>
              <w:spacing w:line="240" w:lineRule="exact"/>
              <w:jc w:val="center"/>
              <w:rPr>
                <w:rFonts w:ascii="宋体" w:hAnsi="宋体" w:eastAsia="宋体" w:cs="宋体"/>
                <w:sz w:val="18"/>
                <w:szCs w:val="18"/>
              </w:rPr>
            </w:pPr>
            <w:r>
              <w:rPr>
                <w:rFonts w:hint="eastAsia" w:ascii="宋体" w:hAnsi="宋体" w:eastAsia="宋体" w:cs="宋体"/>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1</w:t>
            </w:r>
          </w:p>
        </w:tc>
        <w:tc>
          <w:tcPr>
            <w:tcW w:w="634" w:type="pct"/>
            <w:vAlign w:val="center"/>
          </w:tcPr>
          <w:p>
            <w:pPr>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投标供应商综合实力</w:t>
            </w:r>
          </w:p>
        </w:tc>
        <w:tc>
          <w:tcPr>
            <w:tcW w:w="321" w:type="pct"/>
            <w:vAlign w:val="center"/>
          </w:tcPr>
          <w:p>
            <w:pPr>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3734" w:type="pct"/>
            <w:gridSpan w:val="2"/>
            <w:vAlign w:val="center"/>
          </w:tcPr>
          <w:p>
            <w:pPr>
              <w:adjustRightInd w:val="0"/>
              <w:spacing w:line="240" w:lineRule="exact"/>
              <w:rPr>
                <w:rFonts w:ascii="宋体" w:hAnsi="宋体" w:eastAsia="宋体" w:cs="宋体"/>
                <w:sz w:val="18"/>
                <w:szCs w:val="18"/>
              </w:rPr>
            </w:pPr>
            <w:r>
              <w:rPr>
                <w:rFonts w:hint="eastAsia" w:ascii="宋体" w:hAnsi="宋体" w:eastAsia="宋体" w:cs="宋体"/>
                <w:sz w:val="18"/>
                <w:szCs w:val="18"/>
              </w:rPr>
              <w:t>根据投标人的市场知名度、经营信誉、相关业务承接情况等情况综合评定打分（1-3分）。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2</w:t>
            </w:r>
          </w:p>
        </w:tc>
        <w:tc>
          <w:tcPr>
            <w:tcW w:w="634" w:type="pct"/>
            <w:vAlign w:val="center"/>
          </w:tcPr>
          <w:p>
            <w:pPr>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相关证书</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6</w:t>
            </w:r>
          </w:p>
        </w:tc>
        <w:tc>
          <w:tcPr>
            <w:tcW w:w="3734" w:type="pct"/>
            <w:gridSpan w:val="2"/>
            <w:vAlign w:val="center"/>
          </w:tcPr>
          <w:p>
            <w:pPr>
              <w:adjustRightInd w:val="0"/>
              <w:spacing w:line="240" w:lineRule="exact"/>
              <w:ind w:firstLine="360" w:firstLineChars="200"/>
              <w:jc w:val="left"/>
              <w:rPr>
                <w:rFonts w:ascii="宋体" w:hAnsi="宋体" w:eastAsia="宋体" w:cs="宋体"/>
                <w:sz w:val="18"/>
                <w:szCs w:val="18"/>
              </w:rPr>
            </w:pPr>
            <w:r>
              <w:rPr>
                <w:rFonts w:hint="eastAsia" w:ascii="宋体" w:hAnsi="宋体" w:eastAsia="宋体" w:cs="宋体"/>
                <w:sz w:val="18"/>
                <w:szCs w:val="18"/>
              </w:rPr>
              <w:t>投标人具有有效的质量体系认证证书、环境管理体系认证证书、职业健康安全管理体系认证证书、信息安全管理体系认证证书，每提供一个证书得1分，最高得4分，不提供不得分。</w:t>
            </w:r>
          </w:p>
          <w:p>
            <w:pPr>
              <w:adjustRightInd w:val="0"/>
              <w:spacing w:line="240" w:lineRule="exact"/>
              <w:ind w:left="357" w:leftChars="170"/>
              <w:jc w:val="left"/>
              <w:rPr>
                <w:rFonts w:ascii="宋体" w:hAnsi="宋体" w:eastAsia="宋体" w:cs="宋体"/>
                <w:sz w:val="18"/>
                <w:szCs w:val="18"/>
              </w:rPr>
            </w:pPr>
            <w:r>
              <w:rPr>
                <w:rFonts w:hint="eastAsia" w:ascii="宋体" w:hAnsi="宋体" w:eastAsia="宋体" w:cs="宋体"/>
                <w:sz w:val="18"/>
                <w:szCs w:val="18"/>
              </w:rPr>
              <w:t>投标人具有CMMI3及以上认证证书的得2分，其他不得分。</w:t>
            </w:r>
          </w:p>
          <w:p>
            <w:pPr>
              <w:adjustRightInd w:val="0"/>
              <w:spacing w:line="240" w:lineRule="exact"/>
              <w:jc w:val="left"/>
              <w:rPr>
                <w:rFonts w:ascii="宋体" w:hAnsi="宋体" w:eastAsia="宋体" w:cs="宋体"/>
                <w:sz w:val="18"/>
                <w:szCs w:val="18"/>
              </w:rPr>
            </w:pPr>
            <w:r>
              <w:rPr>
                <w:rFonts w:hint="eastAsia" w:ascii="宋体" w:hAnsi="宋体" w:eastAsia="宋体" w:cs="宋体"/>
                <w:sz w:val="18"/>
                <w:szCs w:val="18"/>
              </w:rPr>
              <w:t>注：以上证书需提供复印件加盖投标人公章，否则不得分；投标须知前附表序号8中规定的</w:t>
            </w:r>
            <w:r>
              <w:rPr>
                <w:rFonts w:hint="eastAsia" w:ascii="宋体" w:hAnsi="宋体" w:eastAsia="宋体" w:cs="宋体"/>
                <w:kern w:val="0"/>
                <w:sz w:val="18"/>
                <w:szCs w:val="18"/>
              </w:rPr>
              <w:t>区域性分支机构</w:t>
            </w:r>
            <w:r>
              <w:rPr>
                <w:rFonts w:hint="eastAsia" w:ascii="宋体" w:hAnsi="宋体" w:eastAsia="宋体" w:cs="宋体"/>
                <w:sz w:val="18"/>
                <w:szCs w:val="18"/>
              </w:rPr>
              <w:t>参与投标，总公司具有该证书均认可，相关证书应在有效期内。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3</w:t>
            </w:r>
          </w:p>
        </w:tc>
        <w:tc>
          <w:tcPr>
            <w:tcW w:w="634" w:type="pct"/>
            <w:vAlign w:val="center"/>
          </w:tcPr>
          <w:p>
            <w:pPr>
              <w:adjustRightInd w:val="0"/>
              <w:snapToGrid w:val="0"/>
              <w:spacing w:line="240" w:lineRule="exact"/>
              <w:jc w:val="center"/>
              <w:rPr>
                <w:rFonts w:ascii="宋体" w:hAnsi="宋体" w:eastAsia="宋体" w:cs="宋体"/>
                <w:sz w:val="18"/>
                <w:szCs w:val="18"/>
              </w:rPr>
            </w:pPr>
          </w:p>
          <w:p>
            <w:pPr>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软件产品设计能力</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3734" w:type="pct"/>
            <w:gridSpan w:val="2"/>
            <w:vAlign w:val="center"/>
          </w:tcPr>
          <w:p>
            <w:pPr>
              <w:spacing w:line="240" w:lineRule="exact"/>
              <w:ind w:firstLine="361" w:firstLineChars="200"/>
              <w:jc w:val="left"/>
              <w:rPr>
                <w:rFonts w:ascii="宋体" w:hAnsi="宋体" w:eastAsia="宋体" w:cs="宋体"/>
                <w:b/>
                <w:bCs/>
                <w:sz w:val="18"/>
                <w:szCs w:val="18"/>
                <w:highlight w:val="none"/>
              </w:rPr>
            </w:pPr>
            <w:r>
              <w:rPr>
                <w:rFonts w:hint="eastAsia" w:ascii="宋体" w:hAnsi="宋体" w:eastAsia="宋体" w:cs="宋体"/>
                <w:b/>
                <w:bCs/>
                <w:sz w:val="18"/>
                <w:szCs w:val="18"/>
              </w:rPr>
              <w:t>投标人或所投软件开发商具有与本项目建设内容相关的以下软件著作权证书的，每个得0.5分，最</w:t>
            </w:r>
            <w:r>
              <w:rPr>
                <w:rFonts w:hint="eastAsia" w:ascii="宋体" w:hAnsi="宋体" w:eastAsia="宋体" w:cs="宋体"/>
                <w:b/>
                <w:bCs/>
                <w:sz w:val="18"/>
                <w:szCs w:val="18"/>
                <w:highlight w:val="none"/>
              </w:rPr>
              <w:t>高得3分（须提供</w:t>
            </w:r>
            <w:r>
              <w:rPr>
                <w:rFonts w:hint="eastAsia" w:ascii="宋体" w:hAnsi="宋体" w:eastAsia="宋体" w:cs="宋体"/>
                <w:b/>
                <w:bCs/>
                <w:sz w:val="18"/>
                <w:szCs w:val="18"/>
                <w:highlight w:val="none"/>
                <w:u w:val="single"/>
              </w:rPr>
              <w:t>国家版权局颁发的</w:t>
            </w:r>
            <w:r>
              <w:rPr>
                <w:rFonts w:hint="eastAsia" w:ascii="宋体" w:hAnsi="宋体" w:eastAsia="宋体" w:cs="宋体"/>
                <w:b/>
                <w:bCs/>
                <w:sz w:val="18"/>
                <w:szCs w:val="18"/>
                <w:highlight w:val="none"/>
              </w:rPr>
              <w:t>软件著作权登记证书复印件加盖投标人公章，否则不得分）；</w:t>
            </w:r>
          </w:p>
          <w:p>
            <w:pPr>
              <w:numPr>
                <w:ilvl w:val="0"/>
                <w:numId w:val="38"/>
              </w:numPr>
              <w:spacing w:line="240" w:lineRule="exact"/>
              <w:ind w:firstLine="360" w:firstLineChars="200"/>
              <w:jc w:val="left"/>
              <w:rPr>
                <w:rFonts w:ascii="宋体" w:hAnsi="宋体" w:eastAsia="宋体" w:cs="宋体"/>
                <w:bCs/>
                <w:sz w:val="18"/>
                <w:szCs w:val="18"/>
                <w:highlight w:val="none"/>
              </w:rPr>
            </w:pPr>
            <w:r>
              <w:rPr>
                <w:rFonts w:hint="eastAsia" w:ascii="宋体" w:hAnsi="宋体" w:eastAsia="宋体" w:cs="宋体"/>
                <w:bCs/>
                <w:sz w:val="18"/>
                <w:szCs w:val="18"/>
                <w:highlight w:val="none"/>
              </w:rPr>
              <w:t>数据中心数据共享平台类软件著作权证书；</w:t>
            </w:r>
          </w:p>
          <w:p>
            <w:pPr>
              <w:numPr>
                <w:ilvl w:val="0"/>
                <w:numId w:val="38"/>
              </w:numPr>
              <w:spacing w:line="240" w:lineRule="exact"/>
              <w:ind w:firstLine="360" w:firstLineChars="200"/>
              <w:jc w:val="left"/>
              <w:rPr>
                <w:rFonts w:ascii="宋体" w:hAnsi="宋体" w:eastAsia="宋体" w:cs="宋体"/>
                <w:sz w:val="18"/>
                <w:szCs w:val="18"/>
                <w:highlight w:val="none"/>
              </w:rPr>
            </w:pPr>
            <w:r>
              <w:rPr>
                <w:rFonts w:hint="eastAsia" w:ascii="宋体" w:hAnsi="宋体" w:eastAsia="宋体" w:cs="宋体"/>
                <w:sz w:val="18"/>
                <w:szCs w:val="18"/>
                <w:highlight w:val="none"/>
              </w:rPr>
              <w:t>数据中心运行监测系统类软件著作权证书；</w:t>
            </w:r>
          </w:p>
          <w:p>
            <w:pPr>
              <w:numPr>
                <w:ilvl w:val="0"/>
                <w:numId w:val="38"/>
              </w:numPr>
              <w:spacing w:line="240" w:lineRule="exact"/>
              <w:ind w:firstLine="360" w:firstLineChars="200"/>
              <w:jc w:val="left"/>
              <w:rPr>
                <w:rFonts w:ascii="宋体" w:hAnsi="宋体" w:eastAsia="宋体" w:cs="宋体"/>
                <w:sz w:val="18"/>
                <w:szCs w:val="18"/>
                <w:highlight w:val="none"/>
              </w:rPr>
            </w:pPr>
            <w:r>
              <w:rPr>
                <w:rFonts w:hint="eastAsia" w:ascii="宋体" w:hAnsi="宋体" w:eastAsia="宋体" w:cs="宋体"/>
                <w:sz w:val="18"/>
                <w:szCs w:val="18"/>
                <w:highlight w:val="none"/>
              </w:rPr>
              <w:t>交通数据交换与整合系统类软件著作权证书；</w:t>
            </w:r>
          </w:p>
          <w:p>
            <w:pPr>
              <w:numPr>
                <w:ilvl w:val="0"/>
                <w:numId w:val="38"/>
              </w:numPr>
              <w:spacing w:line="240" w:lineRule="exact"/>
              <w:ind w:firstLine="360" w:firstLineChars="200"/>
              <w:jc w:val="left"/>
              <w:rPr>
                <w:rFonts w:ascii="宋体" w:hAnsi="宋体" w:eastAsia="宋体" w:cs="宋体"/>
                <w:sz w:val="18"/>
                <w:szCs w:val="18"/>
                <w:highlight w:val="none"/>
              </w:rPr>
            </w:pPr>
            <w:r>
              <w:rPr>
                <w:rFonts w:hint="eastAsia" w:ascii="宋体" w:hAnsi="宋体" w:eastAsia="宋体" w:cs="宋体"/>
                <w:sz w:val="18"/>
                <w:szCs w:val="18"/>
                <w:highlight w:val="none"/>
              </w:rPr>
              <w:t>数据中心数据质量管理平台著作权证书；</w:t>
            </w:r>
          </w:p>
          <w:p>
            <w:pPr>
              <w:numPr>
                <w:ilvl w:val="0"/>
                <w:numId w:val="38"/>
              </w:numPr>
              <w:spacing w:line="240" w:lineRule="exact"/>
              <w:ind w:firstLine="360" w:firstLineChars="200"/>
              <w:jc w:val="left"/>
              <w:rPr>
                <w:rFonts w:ascii="宋体" w:hAnsi="宋体" w:eastAsia="宋体" w:cs="宋体"/>
                <w:sz w:val="18"/>
                <w:szCs w:val="18"/>
                <w:highlight w:val="none"/>
              </w:rPr>
            </w:pPr>
            <w:r>
              <w:rPr>
                <w:rFonts w:hint="eastAsia" w:ascii="宋体" w:hAnsi="宋体" w:eastAsia="宋体" w:cs="宋体"/>
                <w:sz w:val="18"/>
                <w:szCs w:val="18"/>
                <w:highlight w:val="none"/>
              </w:rPr>
              <w:t>交通数据大脑数据中台系统软件著作权证书；</w:t>
            </w:r>
          </w:p>
          <w:p>
            <w:pPr>
              <w:numPr>
                <w:ilvl w:val="0"/>
                <w:numId w:val="38"/>
              </w:numPr>
              <w:spacing w:line="240" w:lineRule="exact"/>
              <w:ind w:firstLine="360" w:firstLineChars="200"/>
              <w:jc w:val="left"/>
              <w:rPr>
                <w:rFonts w:ascii="宋体" w:hAnsi="宋体" w:eastAsia="宋体" w:cs="宋体"/>
                <w:sz w:val="18"/>
                <w:szCs w:val="18"/>
              </w:rPr>
            </w:pPr>
            <w:r>
              <w:rPr>
                <w:rFonts w:hint="eastAsia" w:ascii="宋体" w:hAnsi="宋体" w:eastAsia="宋体" w:cs="宋体"/>
                <w:sz w:val="18"/>
                <w:szCs w:val="18"/>
                <w:highlight w:val="none"/>
              </w:rPr>
              <w:t>数据资源综合展示系统软件著作权证书；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4</w:t>
            </w:r>
          </w:p>
        </w:tc>
        <w:tc>
          <w:tcPr>
            <w:tcW w:w="634"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bCs/>
                <w:kern w:val="0"/>
                <w:sz w:val="18"/>
                <w:szCs w:val="18"/>
                <w:lang w:bidi="ar"/>
              </w:rPr>
              <w:t>云平台资质</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4</w:t>
            </w:r>
          </w:p>
        </w:tc>
        <w:tc>
          <w:tcPr>
            <w:tcW w:w="3734" w:type="pct"/>
            <w:gridSpan w:val="2"/>
            <w:vAlign w:val="center"/>
          </w:tcPr>
          <w:p>
            <w:pPr>
              <w:widowControl/>
              <w:spacing w:line="240" w:lineRule="exact"/>
              <w:ind w:firstLine="360" w:firstLineChars="200"/>
              <w:jc w:val="left"/>
              <w:rPr>
                <w:rFonts w:ascii="宋体" w:hAnsi="宋体" w:eastAsia="宋体" w:cs="宋体"/>
                <w:sz w:val="18"/>
                <w:szCs w:val="18"/>
              </w:rPr>
            </w:pPr>
            <w:r>
              <w:rPr>
                <w:rFonts w:hint="eastAsia" w:ascii="宋体" w:hAnsi="宋体" w:eastAsia="宋体" w:cs="宋体"/>
                <w:sz w:val="18"/>
                <w:szCs w:val="18"/>
              </w:rPr>
              <w:t>投标人为本项目提供的政务云云平台（含自有或租赁）：获得公安部信息安全等级保护二级认证的得2分，获得公安部信息安全等级保护三级及以上认证的得4分。</w:t>
            </w:r>
          </w:p>
          <w:p>
            <w:pPr>
              <w:widowControl/>
              <w:spacing w:line="240" w:lineRule="exact"/>
              <w:ind w:firstLine="360" w:firstLineChars="200"/>
              <w:jc w:val="left"/>
              <w:rPr>
                <w:rFonts w:ascii="宋体" w:hAnsi="宋体" w:eastAsia="宋体" w:cs="宋体"/>
              </w:rPr>
            </w:pPr>
            <w:r>
              <w:rPr>
                <w:rFonts w:hint="eastAsia" w:ascii="宋体" w:hAnsi="宋体" w:eastAsia="宋体" w:cs="宋体"/>
                <w:sz w:val="18"/>
                <w:szCs w:val="18"/>
              </w:rPr>
              <w:t>须提供公安部门相关备案证明复印件加盖投标人公章，否则不得分；公安机关出具的有效的信息安全等级保护备案证明、信息安全等级保护测评复评证明均认可。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5</w:t>
            </w:r>
          </w:p>
        </w:tc>
        <w:tc>
          <w:tcPr>
            <w:tcW w:w="634"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供应商业绩</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3734" w:type="pct"/>
            <w:gridSpan w:val="2"/>
            <w:vAlign w:val="center"/>
          </w:tcPr>
          <w:p>
            <w:pPr>
              <w:adjustRightIn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2018年1月1日以来投标人具有的软件平台开发类业绩，每个业绩得1分，最高得3分。（需提供业绩合同复印件并加盖投标人公章，时间以合同签订时间为准，</w:t>
            </w:r>
            <w:r>
              <w:rPr>
                <w:rFonts w:hint="eastAsia" w:ascii="宋体" w:hAnsi="宋体" w:eastAsia="宋体" w:cs="宋体"/>
                <w:color w:val="0000FF"/>
                <w:sz w:val="18"/>
                <w:szCs w:val="18"/>
              </w:rPr>
              <w:t>业绩合同须提供原件，不提供原件不得分</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6</w:t>
            </w:r>
          </w:p>
        </w:tc>
        <w:tc>
          <w:tcPr>
            <w:tcW w:w="634" w:type="pct"/>
            <w:vAlign w:val="center"/>
          </w:tcPr>
          <w:p>
            <w:pPr>
              <w:widowControl/>
              <w:adjustRightInd w:val="0"/>
              <w:snapToGrid w:val="0"/>
              <w:spacing w:line="240" w:lineRule="exact"/>
              <w:jc w:val="center"/>
              <w:rPr>
                <w:rFonts w:ascii="宋体" w:hAnsi="宋体" w:eastAsia="宋体" w:cs="宋体"/>
                <w:bCs/>
                <w:sz w:val="18"/>
                <w:szCs w:val="18"/>
              </w:rPr>
            </w:pPr>
            <w:r>
              <w:rPr>
                <w:rFonts w:hint="eastAsia" w:ascii="宋体" w:hAnsi="宋体" w:eastAsia="宋体" w:cs="宋体"/>
                <w:kern w:val="0"/>
                <w:sz w:val="18"/>
                <w:szCs w:val="18"/>
              </w:rPr>
              <w:t>技术方案</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18</w:t>
            </w:r>
          </w:p>
        </w:tc>
        <w:tc>
          <w:tcPr>
            <w:tcW w:w="3734" w:type="pct"/>
            <w:gridSpan w:val="2"/>
            <w:vAlign w:val="center"/>
          </w:tcPr>
          <w:p>
            <w:pPr>
              <w:widowControl/>
              <w:adjustRightInd w:val="0"/>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1、根据各供应商对项目建设目标、建设内容、建设思路、项目定位及现有系统情况的描述，对项目用户需求的响应及分析的合理性、准确性、规范性、可操作及完整性等描述情况进行集体讨论定档并在相应档次内打分：</w:t>
            </w:r>
          </w:p>
          <w:p>
            <w:pPr>
              <w:widowControl/>
              <w:adjustRightInd w:val="0"/>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一档（1</w:t>
            </w:r>
            <w:r>
              <w:rPr>
                <w:rFonts w:ascii="宋体" w:hAnsi="宋体" w:eastAsia="宋体" w:cs="宋体"/>
                <w:sz w:val="18"/>
                <w:szCs w:val="18"/>
                <w:highlight w:val="none"/>
              </w:rPr>
              <w:t>-2分）</w:t>
            </w:r>
            <w:r>
              <w:rPr>
                <w:rFonts w:hint="eastAsia" w:ascii="宋体" w:hAnsi="宋体" w:eastAsia="宋体" w:cs="宋体"/>
                <w:sz w:val="18"/>
                <w:szCs w:val="18"/>
                <w:highlight w:val="none"/>
              </w:rPr>
              <w:t>：需求分析方案描述得不完整，定位不清晰，可操作性差。</w:t>
            </w:r>
          </w:p>
          <w:p>
            <w:pPr>
              <w:widowControl/>
              <w:adjustRightInd w:val="0"/>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二档（2</w:t>
            </w:r>
            <w:r>
              <w:rPr>
                <w:rFonts w:ascii="宋体" w:hAnsi="宋体" w:eastAsia="宋体" w:cs="宋体"/>
                <w:sz w:val="18"/>
                <w:szCs w:val="18"/>
                <w:highlight w:val="none"/>
              </w:rPr>
              <w:t>-</w:t>
            </w:r>
            <w:r>
              <w:rPr>
                <w:rFonts w:hint="eastAsia" w:ascii="宋体" w:hAnsi="宋体" w:eastAsia="宋体" w:cs="宋体"/>
                <w:sz w:val="18"/>
                <w:szCs w:val="18"/>
                <w:highlight w:val="none"/>
              </w:rPr>
              <w:t>3</w:t>
            </w:r>
            <w:r>
              <w:rPr>
                <w:rFonts w:ascii="宋体" w:hAnsi="宋体" w:eastAsia="宋体" w:cs="宋体"/>
                <w:sz w:val="18"/>
                <w:szCs w:val="18"/>
                <w:highlight w:val="none"/>
              </w:rPr>
              <w:t>分）</w:t>
            </w:r>
            <w:r>
              <w:rPr>
                <w:rFonts w:hint="eastAsia" w:ascii="宋体" w:hAnsi="宋体" w:eastAsia="宋体" w:cs="宋体"/>
                <w:sz w:val="18"/>
                <w:szCs w:val="18"/>
                <w:highlight w:val="none"/>
              </w:rPr>
              <w:t>：需求分析方案描述得完整，需求理解性，操作性一般，能基本满足项目实际需要。</w:t>
            </w:r>
          </w:p>
          <w:p>
            <w:pPr>
              <w:widowControl/>
              <w:adjustRightInd w:val="0"/>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三档（3</w:t>
            </w:r>
            <w:r>
              <w:rPr>
                <w:rFonts w:ascii="宋体" w:hAnsi="宋体" w:eastAsia="宋体" w:cs="宋体"/>
                <w:sz w:val="18"/>
                <w:szCs w:val="18"/>
                <w:highlight w:val="none"/>
              </w:rPr>
              <w:t>-</w:t>
            </w:r>
            <w:r>
              <w:rPr>
                <w:rFonts w:hint="eastAsia" w:ascii="宋体" w:hAnsi="宋体" w:eastAsia="宋体" w:cs="宋体"/>
                <w:sz w:val="18"/>
                <w:szCs w:val="18"/>
                <w:highlight w:val="none"/>
              </w:rPr>
              <w:t>4</w:t>
            </w:r>
            <w:r>
              <w:rPr>
                <w:rFonts w:ascii="宋体" w:hAnsi="宋体" w:eastAsia="宋体" w:cs="宋体"/>
                <w:sz w:val="18"/>
                <w:szCs w:val="18"/>
                <w:highlight w:val="none"/>
              </w:rPr>
              <w:t>分）</w:t>
            </w:r>
            <w:r>
              <w:rPr>
                <w:rFonts w:hint="eastAsia" w:ascii="宋体" w:hAnsi="宋体" w:eastAsia="宋体" w:cs="宋体"/>
                <w:sz w:val="18"/>
                <w:szCs w:val="18"/>
                <w:highlight w:val="none"/>
              </w:rPr>
              <w:t>：需求分析方案描述得完整准确，对需求理解透彻，可操作性强，能满足项目实际需要。</w:t>
            </w:r>
          </w:p>
          <w:p>
            <w:pPr>
              <w:widowControl/>
              <w:adjustRightInd w:val="0"/>
              <w:spacing w:line="240" w:lineRule="exact"/>
              <w:ind w:firstLine="360" w:firstLineChars="200"/>
              <w:rPr>
                <w:highlight w:val="none"/>
              </w:rPr>
            </w:pPr>
            <w:r>
              <w:rPr>
                <w:rFonts w:hint="eastAsia" w:ascii="宋体" w:hAnsi="宋体" w:eastAsia="宋体" w:cs="宋体"/>
                <w:sz w:val="18"/>
                <w:szCs w:val="18"/>
                <w:highlight w:val="none"/>
              </w:rPr>
              <w:t>2、根据数据中台底座各模块</w:t>
            </w:r>
            <w:r>
              <w:rPr>
                <w:rFonts w:ascii="宋体" w:hAnsi="宋体" w:eastAsia="宋体" w:cs="宋体"/>
                <w:sz w:val="18"/>
                <w:szCs w:val="18"/>
                <w:highlight w:val="none"/>
              </w:rPr>
              <w:t>（目录与资源管理、数据采集整合系统、数据交换共享系统、数据治理系统、数据实施）</w:t>
            </w:r>
            <w:r>
              <w:rPr>
                <w:rFonts w:hint="eastAsia" w:ascii="宋体" w:hAnsi="宋体" w:eastAsia="宋体" w:cs="宋体"/>
                <w:sz w:val="18"/>
                <w:szCs w:val="18"/>
                <w:highlight w:val="none"/>
              </w:rPr>
              <w:t>的业务需求点在方案中的符合程度</w:t>
            </w:r>
            <w:r>
              <w:rPr>
                <w:rFonts w:ascii="宋体" w:hAnsi="宋体" w:eastAsia="宋体" w:cs="宋体"/>
                <w:sz w:val="18"/>
                <w:szCs w:val="18"/>
                <w:highlight w:val="none"/>
              </w:rPr>
              <w:t>，包含（1）信息资源目录清单及标准规范体系（2）图形化采集工具（3种及以上）及所支持的行业协议标准协议引擎（至少6个）（3）说明车辆卫星定位数据的省级接入标准，含区间要求、卫星定位的位置以及时间一致性、数据冗余、数据缺失、状态异常等数据要求（4）图形化数据共享配置、数据共享标准及规范要求等响应内容，由专家进行综合打分</w:t>
            </w:r>
            <w:r>
              <w:rPr>
                <w:rFonts w:hint="eastAsia" w:ascii="宋体" w:hAnsi="宋体" w:eastAsia="宋体" w:cs="宋体"/>
                <w:sz w:val="18"/>
                <w:szCs w:val="18"/>
                <w:highlight w:val="none"/>
              </w:rPr>
              <w:t>：一般2</w:t>
            </w:r>
            <w:r>
              <w:rPr>
                <w:rFonts w:ascii="宋体" w:hAnsi="宋体" w:eastAsia="宋体" w:cs="宋体"/>
                <w:sz w:val="18"/>
                <w:szCs w:val="18"/>
                <w:highlight w:val="none"/>
              </w:rPr>
              <w:t>-</w:t>
            </w:r>
            <w:r>
              <w:rPr>
                <w:rFonts w:hint="eastAsia" w:ascii="宋体" w:hAnsi="宋体" w:eastAsia="宋体" w:cs="宋体"/>
                <w:sz w:val="18"/>
                <w:szCs w:val="18"/>
                <w:highlight w:val="none"/>
              </w:rPr>
              <w:t>3，良3-4，优4-</w:t>
            </w:r>
            <w:r>
              <w:rPr>
                <w:rFonts w:ascii="宋体" w:hAnsi="宋体" w:eastAsia="宋体" w:cs="宋体"/>
                <w:sz w:val="18"/>
                <w:szCs w:val="18"/>
                <w:highlight w:val="none"/>
              </w:rPr>
              <w:t>6分。</w:t>
            </w:r>
          </w:p>
          <w:p>
            <w:pPr>
              <w:widowControl/>
              <w:adjustRightInd w:val="0"/>
              <w:spacing w:line="240" w:lineRule="exact"/>
              <w:ind w:firstLine="360" w:firstLineChars="200"/>
              <w:rPr>
                <w:highlight w:val="none"/>
              </w:rPr>
            </w:pPr>
            <w:r>
              <w:rPr>
                <w:rFonts w:hint="eastAsia" w:ascii="宋体" w:hAnsi="宋体" w:eastAsia="宋体" w:cs="宋体"/>
                <w:sz w:val="18"/>
                <w:szCs w:val="18"/>
                <w:highlight w:val="none"/>
              </w:rPr>
              <w:t>3、根据综合性应用系统各模块（信息门户、流程管理功能</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数字办公管理、数字财会管理、数字人才管理、数字经营管理、数字建管管理、数字安全管理、数字战略管理、数字监察管理、数字文化管理、系统集成管理）的业务需求点在方案中的符合程度，由专家进行综合打分，一般2-4，</w:t>
            </w:r>
            <w:r>
              <w:rPr>
                <w:rFonts w:hint="eastAsia" w:ascii="宋体" w:hAnsi="宋体" w:eastAsia="宋体" w:cs="宋体"/>
                <w:sz w:val="18"/>
                <w:szCs w:val="18"/>
                <w:highlight w:val="none"/>
                <w:lang w:val="en-US" w:eastAsia="zh-CN"/>
              </w:rPr>
              <w:t>良</w:t>
            </w:r>
            <w:r>
              <w:rPr>
                <w:rFonts w:hint="eastAsia" w:ascii="宋体" w:hAnsi="宋体" w:eastAsia="宋体" w:cs="宋体"/>
                <w:sz w:val="18"/>
                <w:szCs w:val="18"/>
                <w:highlight w:val="none"/>
              </w:rPr>
              <w:t>4-6，</w:t>
            </w:r>
            <w:r>
              <w:rPr>
                <w:rFonts w:hint="eastAsia" w:ascii="宋体" w:hAnsi="宋体" w:eastAsia="宋体" w:cs="宋体"/>
                <w:sz w:val="18"/>
                <w:szCs w:val="18"/>
                <w:highlight w:val="none"/>
                <w:lang w:val="en-US" w:eastAsia="zh-CN"/>
              </w:rPr>
              <w:t>优</w:t>
            </w:r>
            <w:r>
              <w:rPr>
                <w:rFonts w:hint="eastAsia" w:ascii="宋体" w:hAnsi="宋体" w:eastAsia="宋体" w:cs="宋体"/>
                <w:sz w:val="18"/>
                <w:szCs w:val="18"/>
                <w:highlight w:val="none"/>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restart"/>
            <w:vAlign w:val="center"/>
          </w:tcPr>
          <w:p>
            <w:pPr>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7</w:t>
            </w:r>
          </w:p>
        </w:tc>
        <w:tc>
          <w:tcPr>
            <w:tcW w:w="634" w:type="pct"/>
            <w:vMerge w:val="restar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现场演示</w:t>
            </w:r>
          </w:p>
        </w:tc>
        <w:tc>
          <w:tcPr>
            <w:tcW w:w="321" w:type="pct"/>
            <w:vMerge w:val="restar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16</w:t>
            </w:r>
          </w:p>
        </w:tc>
        <w:tc>
          <w:tcPr>
            <w:tcW w:w="553" w:type="pct"/>
            <w:vAlign w:val="center"/>
          </w:tcPr>
          <w:p>
            <w:pPr>
              <w:snapToGrid w:val="0"/>
              <w:spacing w:line="240" w:lineRule="exact"/>
              <w:jc w:val="center"/>
              <w:rPr>
                <w:rFonts w:ascii="宋体" w:hAnsi="宋体" w:eastAsia="宋体" w:cs="宋体"/>
                <w:sz w:val="18"/>
                <w:szCs w:val="18"/>
              </w:rPr>
            </w:pPr>
            <w:r>
              <w:rPr>
                <w:rFonts w:hint="eastAsia" w:ascii="宋体" w:hAnsi="宋体" w:eastAsia="宋体" w:cs="宋体"/>
                <w:sz w:val="18"/>
                <w:szCs w:val="18"/>
              </w:rPr>
              <w:t>1、数据共享(0-2分)</w:t>
            </w:r>
          </w:p>
        </w:tc>
        <w:tc>
          <w:tcPr>
            <w:tcW w:w="3181" w:type="pct"/>
            <w:vAlign w:val="center"/>
          </w:tcPr>
          <w:p>
            <w:p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演示系统数据共享服务配置功能：</w:t>
            </w:r>
          </w:p>
          <w:p>
            <w:pPr>
              <w:snapToGrid w:val="0"/>
              <w:spacing w:line="240" w:lineRule="exact"/>
              <w:ind w:firstLine="180" w:firstLineChars="100"/>
              <w:rPr>
                <w:rFonts w:ascii="宋体" w:hAnsi="宋体" w:eastAsia="宋体" w:cs="宋体"/>
                <w:sz w:val="18"/>
                <w:szCs w:val="18"/>
              </w:rPr>
            </w:pPr>
            <w:r>
              <w:rPr>
                <w:rFonts w:hint="eastAsia" w:ascii="宋体" w:hAnsi="宋体" w:eastAsia="宋体" w:cs="宋体"/>
                <w:sz w:val="18"/>
                <w:szCs w:val="18"/>
              </w:rPr>
              <w:t>（1）演示通过图形化界面对数据进行共享授权，包括共享方式、TOKEN、并发数、IP地址等（0-1分）。</w:t>
            </w:r>
          </w:p>
          <w:p>
            <w:pPr>
              <w:snapToGrid w:val="0"/>
              <w:spacing w:line="240" w:lineRule="exact"/>
              <w:ind w:firstLine="180" w:firstLineChars="100"/>
              <w:rPr>
                <w:rFonts w:ascii="宋体" w:hAnsi="宋体" w:eastAsia="宋体" w:cs="宋体"/>
                <w:color w:val="0000FF"/>
                <w:sz w:val="18"/>
                <w:szCs w:val="18"/>
              </w:rPr>
            </w:pPr>
            <w:r>
              <w:rPr>
                <w:rFonts w:hint="eastAsia" w:ascii="宋体" w:hAnsi="宋体" w:eastAsia="宋体" w:cs="宋体"/>
                <w:sz w:val="18"/>
                <w:szCs w:val="18"/>
              </w:rPr>
              <w:t>（2）演示基于交通行业标准协议（JT/T809-2011等）建设的动态数据共享转发管理，包括过滤器配置和转发管理，过滤器提供车辆和地理围栏过滤器配置管理，转发管理展示所有转发服务信息，包括转发任务名称、转发协议名称及版本、转发服务状态、数据是否加密等，可支持手动启动、停止、重启以及配置过滤器等操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pPr>
          </w:p>
        </w:tc>
        <w:tc>
          <w:tcPr>
            <w:tcW w:w="634" w:type="pct"/>
            <w:vMerge w:val="continue"/>
            <w:vAlign w:val="center"/>
          </w:tcPr>
          <w:p>
            <w:pPr>
              <w:snapToGrid w:val="0"/>
              <w:spacing w:line="240" w:lineRule="exact"/>
            </w:pPr>
          </w:p>
        </w:tc>
        <w:tc>
          <w:tcPr>
            <w:tcW w:w="321" w:type="pct"/>
            <w:vMerge w:val="continue"/>
            <w:vAlign w:val="center"/>
          </w:tcPr>
          <w:p>
            <w:pPr>
              <w:snapToGrid w:val="0"/>
              <w:spacing w:line="240" w:lineRule="exact"/>
            </w:pPr>
          </w:p>
        </w:tc>
        <w:tc>
          <w:tcPr>
            <w:tcW w:w="553" w:type="pct"/>
            <w:vAlign w:val="center"/>
          </w:tcPr>
          <w:p>
            <w:pPr>
              <w:snapToGrid w:val="0"/>
              <w:spacing w:line="240" w:lineRule="exact"/>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目录与数据资源(0-2分)</w:t>
            </w:r>
          </w:p>
        </w:tc>
        <w:tc>
          <w:tcPr>
            <w:tcW w:w="3181" w:type="pct"/>
            <w:vAlign w:val="center"/>
          </w:tcPr>
          <w:p>
            <w:p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演示数据资源目录的全景视图功能：</w:t>
            </w:r>
          </w:p>
          <w:p>
            <w:p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即通过可视化界面将中台梳理的交通运输行业的信息资源目录进行清晰、全面的展示，同时，利用不同色值以及交互约束表征数据资源是否已接入覆盖（0-1分）；利用卡片形式、表格形式，展示一个信息资源项包含的核心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rPr>
                <w:rFonts w:ascii="宋体" w:hAnsi="宋体" w:eastAsia="宋体" w:cs="宋体"/>
                <w:sz w:val="18"/>
                <w:szCs w:val="18"/>
              </w:rPr>
            </w:pPr>
          </w:p>
        </w:tc>
        <w:tc>
          <w:tcPr>
            <w:tcW w:w="634" w:type="pct"/>
            <w:vMerge w:val="continue"/>
            <w:vAlign w:val="center"/>
          </w:tcPr>
          <w:p>
            <w:pPr>
              <w:snapToGrid w:val="0"/>
              <w:spacing w:line="240" w:lineRule="exact"/>
              <w:rPr>
                <w:rFonts w:ascii="宋体" w:hAnsi="宋体" w:eastAsia="宋体" w:cs="宋体"/>
                <w:sz w:val="18"/>
                <w:szCs w:val="18"/>
              </w:rPr>
            </w:pPr>
          </w:p>
        </w:tc>
        <w:tc>
          <w:tcPr>
            <w:tcW w:w="321" w:type="pct"/>
            <w:vMerge w:val="continue"/>
            <w:vAlign w:val="center"/>
          </w:tcPr>
          <w:p>
            <w:pPr>
              <w:snapToGrid w:val="0"/>
              <w:spacing w:line="240" w:lineRule="exact"/>
              <w:rPr>
                <w:rFonts w:ascii="宋体" w:hAnsi="宋体" w:eastAsia="宋体" w:cs="宋体"/>
                <w:sz w:val="18"/>
                <w:szCs w:val="18"/>
              </w:rPr>
            </w:pPr>
          </w:p>
        </w:tc>
        <w:tc>
          <w:tcPr>
            <w:tcW w:w="553" w:type="pct"/>
            <w:vAlign w:val="center"/>
          </w:tcPr>
          <w:p>
            <w:pPr>
              <w:snapToGrid w:val="0"/>
              <w:spacing w:line="24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w:t>
            </w:r>
            <w:r>
              <w:rPr>
                <w:rFonts w:hint="eastAsia" w:ascii="宋体" w:hAnsi="宋体" w:eastAsia="宋体" w:cs="宋体"/>
                <w:sz w:val="18"/>
                <w:szCs w:val="18"/>
              </w:rPr>
              <w:t>数据治理(</w:t>
            </w:r>
            <w:r>
              <w:rPr>
                <w:rFonts w:ascii="宋体" w:hAnsi="宋体" w:eastAsia="宋体" w:cs="宋体"/>
                <w:sz w:val="18"/>
                <w:szCs w:val="18"/>
              </w:rPr>
              <w:t>0-3</w:t>
            </w:r>
            <w:r>
              <w:rPr>
                <w:rFonts w:hint="eastAsia" w:ascii="宋体" w:hAnsi="宋体" w:eastAsia="宋体" w:cs="宋体"/>
                <w:sz w:val="18"/>
                <w:szCs w:val="18"/>
              </w:rPr>
              <w:t>分)</w:t>
            </w:r>
          </w:p>
        </w:tc>
        <w:tc>
          <w:tcPr>
            <w:tcW w:w="3181" w:type="pct"/>
            <w:vAlign w:val="center"/>
          </w:tcPr>
          <w:p>
            <w:p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演示数据治理功能：</w:t>
            </w:r>
          </w:p>
          <w:p>
            <w:pPr>
              <w:snapToGrid w:val="0"/>
              <w:spacing w:line="240" w:lineRule="exact"/>
              <w:rPr>
                <w:rFonts w:ascii="宋体" w:hAnsi="宋体" w:eastAsia="宋体" w:cs="宋体"/>
                <w:sz w:val="18"/>
                <w:szCs w:val="18"/>
              </w:rPr>
            </w:pPr>
            <w:r>
              <w:rPr>
                <w:rFonts w:hint="eastAsia" w:ascii="宋体" w:hAnsi="宋体" w:eastAsia="宋体" w:cs="宋体"/>
                <w:sz w:val="18"/>
                <w:szCs w:val="18"/>
              </w:rPr>
              <w:t>（1）演示标准代码校验配置、校验结果，包括通过数、不通过数、未校验数及合格率（0-1分）；</w:t>
            </w:r>
          </w:p>
          <w:p>
            <w:pPr>
              <w:snapToGrid w:val="0"/>
              <w:spacing w:line="240" w:lineRule="exact"/>
              <w:rPr>
                <w:rFonts w:ascii="宋体" w:hAnsi="宋体" w:eastAsia="宋体" w:cs="宋体"/>
                <w:sz w:val="18"/>
                <w:szCs w:val="18"/>
              </w:rPr>
            </w:pPr>
            <w:r>
              <w:rPr>
                <w:rFonts w:hint="eastAsia" w:ascii="宋体" w:hAnsi="宋体" w:eastAsia="宋体" w:cs="宋体"/>
                <w:sz w:val="18"/>
                <w:szCs w:val="18"/>
              </w:rPr>
              <w:t>（2）演示业务规则管理，包括规则名称、规则描述及规则代码（0-1分）；</w:t>
            </w:r>
          </w:p>
          <w:p>
            <w:pPr>
              <w:snapToGrid w:val="0"/>
              <w:spacing w:line="240" w:lineRule="exact"/>
              <w:rPr>
                <w:rFonts w:ascii="宋体" w:hAnsi="宋体" w:eastAsia="宋体" w:cs="宋体"/>
                <w:sz w:val="18"/>
                <w:szCs w:val="18"/>
              </w:rPr>
            </w:pPr>
            <w:r>
              <w:rPr>
                <w:rFonts w:hint="eastAsia" w:ascii="宋体" w:hAnsi="宋体" w:eastAsia="宋体" w:cs="宋体"/>
                <w:sz w:val="18"/>
                <w:szCs w:val="18"/>
              </w:rPr>
              <w:t>（3）演示数据质量分析情况，用统计图表的形式进行展示，包括质量评分、近7天变化趋势、规则质量异常占比排名、异常占比分析、近7天异常占比分析等（0-1分）。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rPr>
                <w:rFonts w:ascii="宋体" w:hAnsi="宋体" w:eastAsia="宋体" w:cs="宋体"/>
                <w:sz w:val="18"/>
                <w:szCs w:val="18"/>
              </w:rPr>
            </w:pPr>
          </w:p>
        </w:tc>
        <w:tc>
          <w:tcPr>
            <w:tcW w:w="634" w:type="pct"/>
            <w:vMerge w:val="continue"/>
            <w:vAlign w:val="center"/>
          </w:tcPr>
          <w:p>
            <w:pPr>
              <w:snapToGrid w:val="0"/>
              <w:spacing w:line="240" w:lineRule="exact"/>
              <w:rPr>
                <w:rFonts w:ascii="宋体" w:hAnsi="宋体" w:eastAsia="宋体" w:cs="宋体"/>
                <w:sz w:val="18"/>
                <w:szCs w:val="18"/>
              </w:rPr>
            </w:pPr>
          </w:p>
        </w:tc>
        <w:tc>
          <w:tcPr>
            <w:tcW w:w="321" w:type="pct"/>
            <w:vMerge w:val="continue"/>
            <w:vAlign w:val="center"/>
          </w:tcPr>
          <w:p>
            <w:pPr>
              <w:snapToGrid w:val="0"/>
              <w:spacing w:line="240" w:lineRule="exact"/>
              <w:rPr>
                <w:rFonts w:ascii="宋体" w:hAnsi="宋体" w:eastAsia="宋体" w:cs="宋体"/>
                <w:sz w:val="18"/>
                <w:szCs w:val="18"/>
              </w:rPr>
            </w:pPr>
          </w:p>
        </w:tc>
        <w:tc>
          <w:tcPr>
            <w:tcW w:w="553" w:type="pct"/>
            <w:vAlign w:val="center"/>
          </w:tcPr>
          <w:p>
            <w:pPr>
              <w:snapToGrid w:val="0"/>
              <w:spacing w:line="240" w:lineRule="exact"/>
              <w:jc w:val="center"/>
              <w:rPr>
                <w:rFonts w:ascii="宋体" w:hAnsi="宋体" w:eastAsia="宋体" w:cs="宋体"/>
                <w:sz w:val="18"/>
                <w:szCs w:val="18"/>
              </w:rPr>
            </w:pPr>
            <w:r>
              <w:rPr>
                <w:rFonts w:hint="eastAsia" w:ascii="宋体" w:hAnsi="宋体" w:eastAsia="宋体" w:cs="宋体"/>
                <w:sz w:val="18"/>
                <w:szCs w:val="18"/>
              </w:rPr>
              <w:t>4、数字财会管理(</w:t>
            </w:r>
            <w:r>
              <w:rPr>
                <w:rFonts w:ascii="宋体" w:hAnsi="宋体" w:eastAsia="宋体" w:cs="宋体"/>
                <w:sz w:val="18"/>
                <w:szCs w:val="18"/>
              </w:rPr>
              <w:t>0-3</w:t>
            </w:r>
            <w:r>
              <w:rPr>
                <w:rFonts w:hint="eastAsia" w:ascii="宋体" w:hAnsi="宋体" w:eastAsia="宋体" w:cs="宋体"/>
                <w:sz w:val="18"/>
                <w:szCs w:val="18"/>
              </w:rPr>
              <w:t>分)</w:t>
            </w:r>
          </w:p>
        </w:tc>
        <w:tc>
          <w:tcPr>
            <w:tcW w:w="3181" w:type="pct"/>
            <w:vAlign w:val="center"/>
          </w:tcPr>
          <w:p>
            <w:p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演示数字财会管理功能</w:t>
            </w:r>
          </w:p>
          <w:p>
            <w:pPr>
              <w:pStyle w:val="2"/>
              <w:spacing w:after="0" w:line="240" w:lineRule="exact"/>
              <w:ind w:firstLine="180"/>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演示网上报销管理支持PC端和移动端的应用，支持OCR识别能通过移动端识别发票并发起报销功能（0-1分）；</w:t>
            </w:r>
          </w:p>
          <w:p>
            <w:pPr>
              <w:pStyle w:val="2"/>
              <w:spacing w:after="0" w:line="240" w:lineRule="exact"/>
              <w:ind w:firstLine="180"/>
            </w:pPr>
            <w:r>
              <w:rPr>
                <w:rFonts w:ascii="宋体" w:hAnsi="宋体" w:eastAsia="宋体" w:cs="宋体"/>
                <w:sz w:val="18"/>
                <w:szCs w:val="18"/>
              </w:rPr>
              <w:t>（2）演示提供电子合同、电子发票、电子银行回单、电子会计凭证等电子会计档案的管理功能（0-2分）。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rPr>
                <w:rFonts w:ascii="宋体" w:hAnsi="宋体" w:eastAsia="宋体" w:cs="宋体"/>
                <w:sz w:val="18"/>
                <w:szCs w:val="18"/>
              </w:rPr>
            </w:pPr>
          </w:p>
        </w:tc>
        <w:tc>
          <w:tcPr>
            <w:tcW w:w="634" w:type="pct"/>
            <w:vMerge w:val="continue"/>
            <w:vAlign w:val="center"/>
          </w:tcPr>
          <w:p>
            <w:pPr>
              <w:snapToGrid w:val="0"/>
              <w:spacing w:line="240" w:lineRule="exact"/>
              <w:rPr>
                <w:rFonts w:ascii="宋体" w:hAnsi="宋体" w:eastAsia="宋体" w:cs="宋体"/>
                <w:sz w:val="18"/>
                <w:szCs w:val="18"/>
              </w:rPr>
            </w:pPr>
          </w:p>
        </w:tc>
        <w:tc>
          <w:tcPr>
            <w:tcW w:w="321" w:type="pct"/>
            <w:vMerge w:val="continue"/>
            <w:vAlign w:val="center"/>
          </w:tcPr>
          <w:p>
            <w:pPr>
              <w:snapToGrid w:val="0"/>
              <w:spacing w:line="240" w:lineRule="exact"/>
              <w:rPr>
                <w:rFonts w:ascii="宋体" w:hAnsi="宋体" w:eastAsia="宋体" w:cs="宋体"/>
                <w:sz w:val="18"/>
                <w:szCs w:val="18"/>
              </w:rPr>
            </w:pPr>
          </w:p>
        </w:tc>
        <w:tc>
          <w:tcPr>
            <w:tcW w:w="553" w:type="pct"/>
            <w:vAlign w:val="center"/>
          </w:tcPr>
          <w:p>
            <w:pPr>
              <w:snapToGrid w:val="0"/>
              <w:spacing w:line="240" w:lineRule="exact"/>
              <w:jc w:val="center"/>
              <w:rPr>
                <w:rFonts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数字建管(0-</w:t>
            </w:r>
            <w:r>
              <w:rPr>
                <w:rFonts w:ascii="宋体" w:hAnsi="宋体" w:eastAsia="宋体" w:cs="宋体"/>
                <w:sz w:val="18"/>
                <w:szCs w:val="18"/>
              </w:rPr>
              <w:t>1</w:t>
            </w:r>
            <w:r>
              <w:rPr>
                <w:rFonts w:hint="eastAsia" w:ascii="宋体" w:hAnsi="宋体" w:eastAsia="宋体" w:cs="宋体"/>
                <w:sz w:val="18"/>
                <w:szCs w:val="18"/>
              </w:rPr>
              <w:t>分)</w:t>
            </w:r>
          </w:p>
        </w:tc>
        <w:tc>
          <w:tcPr>
            <w:tcW w:w="3181" w:type="pct"/>
            <w:vAlign w:val="center"/>
          </w:tcPr>
          <w:p>
            <w:p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演示数字建管管理功能：</w:t>
            </w:r>
          </w:p>
          <w:p>
            <w:pPr>
              <w:snapToGrid w:val="0"/>
              <w:spacing w:line="240" w:lineRule="exact"/>
              <w:rPr>
                <w:rFonts w:hint="eastAsia" w:ascii="宋体" w:hAnsi="宋体" w:eastAsia="宋体" w:cs="宋体"/>
                <w:sz w:val="18"/>
                <w:szCs w:val="18"/>
              </w:rPr>
            </w:pPr>
            <w:r>
              <w:rPr>
                <w:rFonts w:hint="eastAsia" w:ascii="宋体" w:hAnsi="宋体" w:eastAsia="宋体" w:cs="宋体"/>
                <w:sz w:val="18"/>
                <w:szCs w:val="18"/>
              </w:rPr>
              <w:t>（1）演示系统应包含项目进展分析中所涉及项目类流程发起、项目合同进度管理及项目报表呈现等功能（0-1分）。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rPr>
                <w:rFonts w:ascii="宋体" w:hAnsi="宋体" w:eastAsia="宋体" w:cs="宋体"/>
                <w:sz w:val="18"/>
                <w:szCs w:val="18"/>
              </w:rPr>
            </w:pPr>
          </w:p>
        </w:tc>
        <w:tc>
          <w:tcPr>
            <w:tcW w:w="634" w:type="pct"/>
            <w:vMerge w:val="continue"/>
            <w:vAlign w:val="center"/>
          </w:tcPr>
          <w:p>
            <w:pPr>
              <w:snapToGrid w:val="0"/>
              <w:spacing w:line="240" w:lineRule="exact"/>
              <w:rPr>
                <w:rFonts w:ascii="宋体" w:hAnsi="宋体" w:eastAsia="宋体" w:cs="宋体"/>
                <w:sz w:val="18"/>
                <w:szCs w:val="18"/>
              </w:rPr>
            </w:pPr>
          </w:p>
        </w:tc>
        <w:tc>
          <w:tcPr>
            <w:tcW w:w="321" w:type="pct"/>
            <w:vMerge w:val="continue"/>
            <w:vAlign w:val="center"/>
          </w:tcPr>
          <w:p>
            <w:pPr>
              <w:snapToGrid w:val="0"/>
              <w:spacing w:line="240" w:lineRule="exact"/>
              <w:rPr>
                <w:rFonts w:ascii="宋体" w:hAnsi="宋体" w:eastAsia="宋体" w:cs="宋体"/>
                <w:sz w:val="18"/>
                <w:szCs w:val="18"/>
              </w:rPr>
            </w:pPr>
          </w:p>
        </w:tc>
        <w:tc>
          <w:tcPr>
            <w:tcW w:w="553" w:type="pct"/>
            <w:vAlign w:val="center"/>
          </w:tcPr>
          <w:p>
            <w:pPr>
              <w:snapToGrid w:val="0"/>
              <w:spacing w:line="240" w:lineRule="exact"/>
              <w:jc w:val="center"/>
              <w:rPr>
                <w:rFonts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数字人才(0-</w:t>
            </w:r>
            <w:r>
              <w:rPr>
                <w:rFonts w:ascii="宋体" w:hAnsi="宋体" w:eastAsia="宋体" w:cs="宋体"/>
                <w:sz w:val="18"/>
                <w:szCs w:val="18"/>
              </w:rPr>
              <w:t>1</w:t>
            </w:r>
            <w:r>
              <w:rPr>
                <w:rFonts w:hint="eastAsia" w:ascii="宋体" w:hAnsi="宋体" w:eastAsia="宋体" w:cs="宋体"/>
                <w:sz w:val="18"/>
                <w:szCs w:val="18"/>
              </w:rPr>
              <w:t>分)</w:t>
            </w:r>
          </w:p>
        </w:tc>
        <w:tc>
          <w:tcPr>
            <w:tcW w:w="3181" w:type="pct"/>
            <w:vAlign w:val="center"/>
          </w:tcPr>
          <w:p>
            <w:p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演示数字人才管理功能：</w:t>
            </w:r>
          </w:p>
          <w:p>
            <w:pPr>
              <w:snapToGrid w:val="0"/>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（1）演示能构建人才管理中的人才招聘、入职、调岗、离职、年度用工需求等流程和门户功能展示（0-1分）；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rPr>
                <w:rFonts w:ascii="宋体" w:hAnsi="宋体" w:eastAsia="宋体" w:cs="宋体"/>
                <w:sz w:val="18"/>
                <w:szCs w:val="18"/>
              </w:rPr>
            </w:pPr>
          </w:p>
        </w:tc>
        <w:tc>
          <w:tcPr>
            <w:tcW w:w="634" w:type="pct"/>
            <w:vMerge w:val="continue"/>
            <w:vAlign w:val="center"/>
          </w:tcPr>
          <w:p>
            <w:pPr>
              <w:snapToGrid w:val="0"/>
              <w:spacing w:line="240" w:lineRule="exact"/>
              <w:rPr>
                <w:rFonts w:ascii="宋体" w:hAnsi="宋体" w:eastAsia="宋体" w:cs="宋体"/>
                <w:sz w:val="18"/>
                <w:szCs w:val="18"/>
              </w:rPr>
            </w:pPr>
          </w:p>
        </w:tc>
        <w:tc>
          <w:tcPr>
            <w:tcW w:w="321" w:type="pct"/>
            <w:vMerge w:val="continue"/>
            <w:vAlign w:val="center"/>
          </w:tcPr>
          <w:p>
            <w:pPr>
              <w:snapToGrid w:val="0"/>
              <w:spacing w:line="240" w:lineRule="exact"/>
              <w:rPr>
                <w:rFonts w:ascii="宋体" w:hAnsi="宋体" w:eastAsia="宋体" w:cs="宋体"/>
                <w:sz w:val="18"/>
                <w:szCs w:val="18"/>
              </w:rPr>
            </w:pPr>
          </w:p>
        </w:tc>
        <w:tc>
          <w:tcPr>
            <w:tcW w:w="553" w:type="pct"/>
            <w:vAlign w:val="center"/>
          </w:tcPr>
          <w:p>
            <w:pPr>
              <w:snapToGrid w:val="0"/>
              <w:spacing w:line="240" w:lineRule="exact"/>
              <w:rPr>
                <w:rFonts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、数字办公0-</w:t>
            </w:r>
            <w:r>
              <w:rPr>
                <w:rFonts w:ascii="宋体" w:hAnsi="宋体" w:eastAsia="宋体" w:cs="宋体"/>
                <w:sz w:val="18"/>
                <w:szCs w:val="18"/>
              </w:rPr>
              <w:t>2</w:t>
            </w:r>
            <w:r>
              <w:rPr>
                <w:rFonts w:hint="eastAsia" w:ascii="宋体" w:hAnsi="宋体" w:eastAsia="宋体" w:cs="宋体"/>
                <w:sz w:val="18"/>
                <w:szCs w:val="18"/>
              </w:rPr>
              <w:t>分</w:t>
            </w:r>
          </w:p>
        </w:tc>
        <w:tc>
          <w:tcPr>
            <w:tcW w:w="3181" w:type="pct"/>
            <w:vAlign w:val="center"/>
          </w:tcPr>
          <w:p>
            <w:pPr>
              <w:snapToGrid w:val="0"/>
              <w:spacing w:line="240" w:lineRule="exact"/>
              <w:ind w:firstLine="180" w:firstLineChars="100"/>
              <w:rPr>
                <w:rFonts w:ascii="宋体" w:hAnsi="宋体" w:eastAsia="宋体" w:cs="宋体"/>
                <w:sz w:val="18"/>
                <w:szCs w:val="18"/>
              </w:rPr>
            </w:pPr>
            <w:r>
              <w:rPr>
                <w:rFonts w:hint="eastAsia" w:ascii="宋体" w:hAnsi="宋体" w:eastAsia="宋体" w:cs="宋体"/>
                <w:sz w:val="18"/>
                <w:szCs w:val="18"/>
              </w:rPr>
              <w:t>演示数字办公管理功能：</w:t>
            </w:r>
          </w:p>
          <w:p>
            <w:pPr>
              <w:snapToGrid w:val="0"/>
              <w:spacing w:line="240" w:lineRule="exact"/>
              <w:ind w:firstLine="180" w:firstLineChars="100"/>
              <w:rPr>
                <w:rFonts w:ascii="宋体" w:hAnsi="宋体" w:eastAsia="宋体" w:cs="宋体"/>
                <w:sz w:val="18"/>
                <w:szCs w:val="18"/>
              </w:rPr>
            </w:pPr>
            <w:r>
              <w:rPr>
                <w:rFonts w:hint="eastAsia" w:ascii="宋体" w:hAnsi="宋体" w:eastAsia="宋体" w:cs="宋体"/>
                <w:sz w:val="18"/>
                <w:szCs w:val="18"/>
              </w:rPr>
              <w:t>（1）决策管理系统包含议题收集、三重一大事项管理、与督办系统联动、与会议管理系统联动等功能（0-2分</w:t>
            </w:r>
            <w:r>
              <w:rPr>
                <w:rFonts w:ascii="宋体" w:hAnsi="宋体" w:eastAsia="宋体" w:cs="宋体"/>
                <w:sz w:val="18"/>
                <w:szCs w:val="18"/>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rPr>
                <w:rFonts w:ascii="宋体" w:hAnsi="宋体" w:eastAsia="宋体" w:cs="宋体"/>
                <w:sz w:val="18"/>
                <w:szCs w:val="18"/>
              </w:rPr>
            </w:pPr>
          </w:p>
        </w:tc>
        <w:tc>
          <w:tcPr>
            <w:tcW w:w="634" w:type="pct"/>
            <w:vMerge w:val="continue"/>
            <w:vAlign w:val="center"/>
          </w:tcPr>
          <w:p>
            <w:pPr>
              <w:snapToGrid w:val="0"/>
              <w:spacing w:line="240" w:lineRule="exact"/>
              <w:rPr>
                <w:rFonts w:ascii="宋体" w:hAnsi="宋体" w:eastAsia="宋体" w:cs="宋体"/>
                <w:sz w:val="18"/>
                <w:szCs w:val="18"/>
              </w:rPr>
            </w:pPr>
          </w:p>
        </w:tc>
        <w:tc>
          <w:tcPr>
            <w:tcW w:w="321" w:type="pct"/>
            <w:vMerge w:val="continue"/>
            <w:vAlign w:val="center"/>
          </w:tcPr>
          <w:p>
            <w:pPr>
              <w:snapToGrid w:val="0"/>
              <w:spacing w:line="240" w:lineRule="exact"/>
              <w:rPr>
                <w:rFonts w:ascii="宋体" w:hAnsi="宋体" w:eastAsia="宋体" w:cs="宋体"/>
                <w:sz w:val="18"/>
                <w:szCs w:val="18"/>
              </w:rPr>
            </w:pPr>
          </w:p>
        </w:tc>
        <w:tc>
          <w:tcPr>
            <w:tcW w:w="553" w:type="pct"/>
            <w:vAlign w:val="center"/>
          </w:tcPr>
          <w:p>
            <w:pPr>
              <w:snapToGrid w:val="0"/>
              <w:spacing w:line="240" w:lineRule="exact"/>
              <w:rPr>
                <w:rFonts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、数字经营0-</w:t>
            </w:r>
            <w:r>
              <w:rPr>
                <w:rFonts w:ascii="宋体" w:hAnsi="宋体" w:eastAsia="宋体" w:cs="宋体"/>
                <w:sz w:val="18"/>
                <w:szCs w:val="18"/>
              </w:rPr>
              <w:t>2</w:t>
            </w:r>
            <w:r>
              <w:rPr>
                <w:rFonts w:hint="eastAsia" w:ascii="宋体" w:hAnsi="宋体" w:eastAsia="宋体" w:cs="宋体"/>
                <w:sz w:val="18"/>
                <w:szCs w:val="18"/>
              </w:rPr>
              <w:t>分</w:t>
            </w:r>
          </w:p>
        </w:tc>
        <w:tc>
          <w:tcPr>
            <w:tcW w:w="3181" w:type="pct"/>
            <w:vAlign w:val="center"/>
          </w:tcPr>
          <w:p>
            <w:pPr>
              <w:snapToGrid w:val="0"/>
              <w:spacing w:line="240" w:lineRule="exact"/>
              <w:rPr>
                <w:rFonts w:ascii="宋体" w:hAnsi="宋体" w:eastAsia="宋体" w:cs="宋体"/>
                <w:sz w:val="18"/>
                <w:szCs w:val="18"/>
              </w:rPr>
            </w:pPr>
            <w:r>
              <w:rPr>
                <w:rFonts w:hint="eastAsia" w:ascii="宋体" w:hAnsi="宋体" w:eastAsia="宋体" w:cs="宋体"/>
                <w:sz w:val="18"/>
                <w:szCs w:val="18"/>
              </w:rPr>
              <w:t>演示数字经营管理功能：</w:t>
            </w:r>
          </w:p>
          <w:p>
            <w:pPr>
              <w:pStyle w:val="2"/>
              <w:spacing w:after="0" w:line="240" w:lineRule="exact"/>
              <w:ind w:firstLine="180"/>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1）演示资产数字化管理包含资产采购计划管理及采购进度管理（0-1分）；</w:t>
            </w:r>
          </w:p>
          <w:p>
            <w:pPr>
              <w:pStyle w:val="2"/>
              <w:spacing w:after="0" w:line="240" w:lineRule="exact"/>
              <w:ind w:firstLine="180"/>
            </w:pPr>
            <w:r>
              <w:rPr>
                <w:rFonts w:ascii="宋体" w:hAnsi="宋体" w:eastAsia="宋体" w:cs="宋体"/>
                <w:sz w:val="18"/>
                <w:szCs w:val="18"/>
              </w:rPr>
              <w:t>（2）演示工程数字化管理包含项目立项、执行、监控、验收等内容（0-1分）。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309" w:type="pct"/>
            <w:vMerge w:val="continue"/>
            <w:vAlign w:val="center"/>
          </w:tcPr>
          <w:p>
            <w:pPr>
              <w:snapToGrid w:val="0"/>
              <w:spacing w:line="240" w:lineRule="exact"/>
              <w:rPr>
                <w:rFonts w:ascii="宋体" w:hAnsi="宋体" w:eastAsia="宋体" w:cs="宋体"/>
                <w:sz w:val="18"/>
                <w:szCs w:val="18"/>
              </w:rPr>
            </w:pPr>
          </w:p>
        </w:tc>
        <w:tc>
          <w:tcPr>
            <w:tcW w:w="634" w:type="pct"/>
            <w:vMerge w:val="continue"/>
            <w:vAlign w:val="center"/>
          </w:tcPr>
          <w:p>
            <w:pPr>
              <w:snapToGrid w:val="0"/>
              <w:spacing w:line="240" w:lineRule="exact"/>
              <w:rPr>
                <w:rFonts w:ascii="宋体" w:hAnsi="宋体" w:eastAsia="宋体" w:cs="宋体"/>
                <w:sz w:val="18"/>
                <w:szCs w:val="18"/>
              </w:rPr>
            </w:pPr>
          </w:p>
        </w:tc>
        <w:tc>
          <w:tcPr>
            <w:tcW w:w="321" w:type="pct"/>
            <w:vMerge w:val="continue"/>
            <w:vAlign w:val="center"/>
          </w:tcPr>
          <w:p>
            <w:pPr>
              <w:snapToGrid w:val="0"/>
              <w:spacing w:line="240" w:lineRule="exact"/>
              <w:rPr>
                <w:rFonts w:ascii="宋体" w:hAnsi="宋体" w:eastAsia="宋体" w:cs="宋体"/>
                <w:sz w:val="18"/>
                <w:szCs w:val="18"/>
              </w:rPr>
            </w:pPr>
          </w:p>
        </w:tc>
        <w:tc>
          <w:tcPr>
            <w:tcW w:w="3734" w:type="pct"/>
            <w:gridSpan w:val="2"/>
            <w:vAlign w:val="center"/>
          </w:tcPr>
          <w:p>
            <w:pPr>
              <w:numPr>
                <w:ilvl w:val="0"/>
                <w:numId w:val="39"/>
              </w:num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供应商投标时须随投标文件一起提供基于真实软件系统演示的视频录像，该视频录像要求用U盘储存，与技术资信标一起密封，并在投标截止时间前提交给代理公司；</w:t>
            </w:r>
          </w:p>
          <w:p>
            <w:pPr>
              <w:numPr>
                <w:ilvl w:val="0"/>
                <w:numId w:val="39"/>
              </w:numPr>
              <w:snapToGri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视频播放演示内容须与投标方案保持一致，演示时间控制在25分钟内，演示顺序按投标文件递交的逆序进行，未提交演示视频的不作无效标处理，但演示评分得0分，仅PPT与图片演示不得分。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8</w:t>
            </w:r>
          </w:p>
        </w:tc>
        <w:tc>
          <w:tcPr>
            <w:tcW w:w="634"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实施方案</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6</w:t>
            </w:r>
          </w:p>
        </w:tc>
        <w:tc>
          <w:tcPr>
            <w:tcW w:w="3734" w:type="pct"/>
            <w:gridSpan w:val="2"/>
            <w:vAlign w:val="center"/>
          </w:tcPr>
          <w:p>
            <w:pPr>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根据根据供应商技术方案的项目实施等是否详尽合理、可行、完善等方面进行集体讨论定档并在相应档次内打分：</w:t>
            </w:r>
          </w:p>
          <w:p>
            <w:pPr>
              <w:spacing w:line="240" w:lineRule="exact"/>
              <w:ind w:firstLine="351" w:firstLineChars="195"/>
              <w:rPr>
                <w:rFonts w:ascii="宋体" w:hAnsi="宋体" w:eastAsia="宋体" w:cs="宋体"/>
                <w:sz w:val="18"/>
                <w:szCs w:val="18"/>
              </w:rPr>
            </w:pPr>
            <w:r>
              <w:rPr>
                <w:rFonts w:hint="eastAsia" w:ascii="宋体" w:hAnsi="宋体" w:eastAsia="宋体" w:cs="宋体"/>
                <w:sz w:val="18"/>
                <w:szCs w:val="18"/>
              </w:rPr>
              <w:t>一档（1-2分）：总体设计方案不完整、可行性较差，结合采购人的实际情况对项目所需总体设计描述先进性及可扩展性较为欠缺。</w:t>
            </w:r>
          </w:p>
          <w:p>
            <w:pPr>
              <w:spacing w:line="240" w:lineRule="exact"/>
              <w:ind w:firstLine="351" w:firstLineChars="195"/>
              <w:rPr>
                <w:rFonts w:ascii="宋体" w:hAnsi="宋体" w:eastAsia="宋体" w:cs="宋体"/>
                <w:sz w:val="18"/>
                <w:szCs w:val="18"/>
              </w:rPr>
            </w:pPr>
            <w:r>
              <w:rPr>
                <w:rFonts w:hint="eastAsia" w:ascii="宋体" w:hAnsi="宋体" w:eastAsia="宋体" w:cs="宋体"/>
                <w:sz w:val="18"/>
                <w:szCs w:val="18"/>
              </w:rPr>
              <w:t>二档（2-4分）：总体设计方案完整、可行性一般，结合采购人的实际情况对项目所需总体设计描述先进性一般、可扩展性一般。</w:t>
            </w:r>
          </w:p>
          <w:p>
            <w:pPr>
              <w:spacing w:line="240" w:lineRule="exact"/>
              <w:ind w:firstLine="351" w:firstLineChars="195"/>
              <w:rPr>
                <w:rFonts w:ascii="宋体" w:hAnsi="宋体" w:eastAsia="宋体" w:cs="宋体"/>
                <w:sz w:val="18"/>
                <w:szCs w:val="18"/>
              </w:rPr>
            </w:pPr>
            <w:r>
              <w:rPr>
                <w:rFonts w:hint="eastAsia" w:ascii="宋体" w:hAnsi="宋体" w:eastAsia="宋体" w:cs="宋体"/>
                <w:sz w:val="18"/>
                <w:szCs w:val="18"/>
              </w:rPr>
              <w:t>三档（4-6分）：总体设计方案完整合理、可行性强，结合采购人的实际情况对项目所需总体设计描述具有很强的先进性、可扩展性。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spacing w:line="240" w:lineRule="exact"/>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9</w:t>
            </w:r>
          </w:p>
        </w:tc>
        <w:tc>
          <w:tcPr>
            <w:tcW w:w="634"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项目负责人情况</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4</w:t>
            </w:r>
          </w:p>
        </w:tc>
        <w:tc>
          <w:tcPr>
            <w:tcW w:w="3734" w:type="pct"/>
            <w:gridSpan w:val="2"/>
            <w:vAlign w:val="center"/>
          </w:tcPr>
          <w:p>
            <w:pPr>
              <w:widowControl/>
              <w:adjustRightInd w:val="0"/>
              <w:spacing w:line="240" w:lineRule="exact"/>
              <w:ind w:firstLine="357"/>
              <w:rPr>
                <w:rFonts w:ascii="宋体" w:hAnsi="宋体" w:eastAsia="宋体" w:cs="宋体"/>
                <w:kern w:val="0"/>
                <w:sz w:val="18"/>
                <w:szCs w:val="18"/>
              </w:rPr>
            </w:pPr>
            <w:r>
              <w:rPr>
                <w:rFonts w:hint="eastAsia" w:ascii="宋体" w:hAnsi="宋体" w:eastAsia="宋体" w:cs="宋体"/>
                <w:kern w:val="0"/>
                <w:sz w:val="18"/>
                <w:szCs w:val="18"/>
              </w:rPr>
              <w:t>1、证书：投标人拟派本项目的一名项目负责人具有高级信息系统项目管理师、ITSS IT服务项目经理证书情况，同时具备两本证书得3分，具备其中一本得1分，没有不得分，最高得3分（须提供相关证书复印件加盖到位公章，不提供或没有的不得分）。</w:t>
            </w:r>
          </w:p>
          <w:p>
            <w:pPr>
              <w:widowControl/>
              <w:adjustRightInd w:val="0"/>
              <w:spacing w:line="240" w:lineRule="exact"/>
              <w:ind w:firstLine="357"/>
              <w:rPr>
                <w:rFonts w:ascii="宋体" w:hAnsi="宋体" w:eastAsia="宋体" w:cs="宋体"/>
                <w:kern w:val="0"/>
                <w:sz w:val="18"/>
                <w:szCs w:val="18"/>
              </w:rPr>
            </w:pPr>
            <w:r>
              <w:rPr>
                <w:rFonts w:hint="eastAsia" w:ascii="宋体" w:hAnsi="宋体" w:eastAsia="宋体" w:cs="宋体"/>
                <w:kern w:val="0"/>
                <w:sz w:val="18"/>
                <w:szCs w:val="18"/>
              </w:rPr>
              <w:t>2、业绩：2018年1月1日以来项目负责人具有的软件平台开发类业绩的，得1分，没有不得分（需提供业绩合同复印件并加盖投标人公章，时间以合同签订时间为准，业绩合同须提供原件，不提供原件不得分，如业绩证明材料无法体现项目负责人姓名的，须提供建设单位的证明材料复印件加盖公章，不提供不得分）。</w:t>
            </w:r>
          </w:p>
          <w:p>
            <w:pPr>
              <w:widowControl/>
              <w:adjustRightInd w:val="0"/>
              <w:spacing w:line="240" w:lineRule="exact"/>
              <w:ind w:firstLine="357"/>
              <w:rPr>
                <w:rFonts w:ascii="宋体" w:hAnsi="宋体" w:eastAsia="宋体" w:cs="宋体"/>
                <w:kern w:val="0"/>
                <w:sz w:val="18"/>
                <w:szCs w:val="18"/>
              </w:rPr>
            </w:pPr>
            <w:r>
              <w:rPr>
                <w:rFonts w:hint="eastAsia" w:ascii="宋体" w:hAnsi="宋体" w:eastAsia="宋体" w:cs="宋体"/>
                <w:sz w:val="18"/>
                <w:szCs w:val="18"/>
              </w:rPr>
              <w:t>项目负责人提供投标截止时间前半年内至少</w:t>
            </w:r>
            <w:r>
              <w:rPr>
                <w:rFonts w:ascii="宋体" w:hAnsi="宋体" w:eastAsia="宋体" w:cs="宋体"/>
                <w:sz w:val="18"/>
                <w:szCs w:val="18"/>
              </w:rPr>
              <w:t>3个月的在投标单位的社保证明复印件加盖公章，不提供社保证明复印件不得分</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10</w:t>
            </w:r>
          </w:p>
        </w:tc>
        <w:tc>
          <w:tcPr>
            <w:tcW w:w="634"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拟派项目组其他技术人员情况</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9</w:t>
            </w:r>
          </w:p>
        </w:tc>
        <w:tc>
          <w:tcPr>
            <w:tcW w:w="3734" w:type="pct"/>
            <w:gridSpan w:val="2"/>
            <w:shd w:val="clear" w:color="auto" w:fill="auto"/>
            <w:vAlign w:val="center"/>
          </w:tcPr>
          <w:p>
            <w:pPr>
              <w:widowControl/>
              <w:adjustRightInd w:val="0"/>
              <w:spacing w:line="240" w:lineRule="exact"/>
              <w:ind w:firstLine="357"/>
              <w:rPr>
                <w:rFonts w:ascii="宋体" w:hAnsi="宋体" w:eastAsia="宋体" w:cs="宋体"/>
                <w:kern w:val="0"/>
                <w:sz w:val="18"/>
                <w:szCs w:val="18"/>
              </w:rPr>
            </w:pPr>
            <w:r>
              <w:rPr>
                <w:rFonts w:hint="eastAsia" w:ascii="宋体" w:hAnsi="宋体" w:eastAsia="宋体" w:cs="宋体"/>
                <w:kern w:val="0"/>
                <w:sz w:val="18"/>
                <w:szCs w:val="18"/>
              </w:rPr>
              <w:t>1、投标人拟派本项目的技术负责人具有人力资源和社会保障厅颁发的信息安全工程师中级及以上证书、CISP证书（云安全工程师）、CISSP (ISC)²（注册信息系统安全专家）证书，同时具备三本证书得4分，具备其中两本得2分，具备其中一本得1分，没有不得分，最高得4分。</w:t>
            </w:r>
          </w:p>
          <w:p>
            <w:pPr>
              <w:widowControl/>
              <w:adjustRightInd w:val="0"/>
              <w:spacing w:line="240" w:lineRule="exact"/>
              <w:ind w:firstLine="357"/>
              <w:rPr>
                <w:rFonts w:ascii="宋体" w:hAnsi="宋体" w:eastAsia="宋体" w:cs="宋体"/>
                <w:kern w:val="0"/>
                <w:sz w:val="18"/>
                <w:szCs w:val="18"/>
              </w:rPr>
            </w:pPr>
            <w:r>
              <w:rPr>
                <w:rFonts w:hint="eastAsia" w:ascii="宋体" w:hAnsi="宋体" w:eastAsia="宋体" w:cs="宋体"/>
                <w:kern w:val="0"/>
                <w:sz w:val="18"/>
                <w:szCs w:val="18"/>
              </w:rPr>
              <w:t>2、项目组成员具有数据库系统工程师（中级）及以上证书、大数据技术（中级及以上）、软件测评师（中级及以上）、软件设计师（中级及以上）证书、信息安全工程师（中级及以上）证书的，每种得1分，没有不得分，最高得5分。</w:t>
            </w:r>
          </w:p>
          <w:p>
            <w:pPr>
              <w:widowControl/>
              <w:adjustRightInd w:val="0"/>
              <w:spacing w:line="240" w:lineRule="exact"/>
              <w:ind w:firstLine="357"/>
              <w:rPr>
                <w:rFonts w:ascii="宋体" w:hAnsi="宋体" w:eastAsia="宋体" w:cs="宋体"/>
                <w:b/>
                <w:bCs/>
                <w:sz w:val="18"/>
                <w:szCs w:val="18"/>
              </w:rPr>
            </w:pPr>
            <w:r>
              <w:rPr>
                <w:rFonts w:hint="eastAsia" w:ascii="宋体" w:hAnsi="宋体" w:eastAsia="宋体" w:cs="宋体"/>
                <w:sz w:val="18"/>
                <w:szCs w:val="18"/>
              </w:rPr>
              <w:t>注：本项目组人员（除项目负责人、技术负责人外）同一个人最多计算一种证书；以上项目人员需提供完整有效的证书复印件加盖公章，并提供投标截止时间前半年内至少</w:t>
            </w:r>
            <w:r>
              <w:rPr>
                <w:rFonts w:ascii="宋体" w:hAnsi="宋体" w:eastAsia="宋体" w:cs="宋体"/>
                <w:sz w:val="18"/>
                <w:szCs w:val="18"/>
              </w:rPr>
              <w:t>3个月的在投标单位的社保证明复印件加盖公章，不提供社保证明复印件不得分。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restart"/>
            <w:vAlign w:val="center"/>
          </w:tcPr>
          <w:p>
            <w:pPr>
              <w:adjustRightInd w:val="0"/>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11</w:t>
            </w:r>
          </w:p>
        </w:tc>
        <w:tc>
          <w:tcPr>
            <w:tcW w:w="634" w:type="pct"/>
            <w:vMerge w:val="restar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kern w:val="0"/>
                <w:sz w:val="18"/>
                <w:szCs w:val="18"/>
              </w:rPr>
              <w:t>运维服务能力</w:t>
            </w:r>
          </w:p>
        </w:tc>
        <w:tc>
          <w:tcPr>
            <w:tcW w:w="321" w:type="pct"/>
            <w:vMerge w:val="restar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7</w:t>
            </w:r>
          </w:p>
        </w:tc>
        <w:tc>
          <w:tcPr>
            <w:tcW w:w="3734" w:type="pct"/>
            <w:gridSpan w:val="2"/>
            <w:vAlign w:val="center"/>
          </w:tcPr>
          <w:p>
            <w:pPr>
              <w:spacing w:line="24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投标人针对本项目的服务能力情况（包括不仅限于服务机构属性、设置情况、机构实力等情况），有利于及时响应采购人的服务需求，有利于及时处理问题、可信度等进行评价）：一般</w:t>
            </w:r>
            <w:r>
              <w:rPr>
                <w:rFonts w:hint="eastAsia" w:ascii="宋体" w:hAnsi="宋体" w:eastAsia="宋体" w:cs="宋体"/>
                <w:sz w:val="18"/>
                <w:szCs w:val="18"/>
              </w:rPr>
              <w:t>1-2分，较好2-4分</w:t>
            </w:r>
          </w:p>
          <w:p>
            <w:pPr>
              <w:widowControl/>
              <w:spacing w:line="240" w:lineRule="exact"/>
              <w:rPr>
                <w:rFonts w:ascii="宋体" w:hAnsi="宋体" w:eastAsia="宋体" w:cs="宋体"/>
                <w:sz w:val="18"/>
                <w:szCs w:val="18"/>
              </w:rPr>
            </w:pPr>
            <w:r>
              <w:rPr>
                <w:rFonts w:hint="eastAsia" w:ascii="宋体" w:hAnsi="宋体" w:eastAsia="宋体" w:cs="宋体"/>
                <w:kern w:val="0"/>
                <w:sz w:val="18"/>
                <w:szCs w:val="18"/>
              </w:rPr>
              <w:t>须提供该服务机构的相关证明文件复印件并加盖公章。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continue"/>
            <w:vAlign w:val="center"/>
          </w:tcPr>
          <w:p>
            <w:pPr>
              <w:adjustRightInd w:val="0"/>
              <w:ind w:left="-109" w:leftChars="-52" w:right="3"/>
              <w:jc w:val="center"/>
              <w:rPr>
                <w:rFonts w:ascii="宋体" w:hAnsi="宋体" w:eastAsia="宋体" w:cs="宋体"/>
                <w:spacing w:val="4"/>
                <w:sz w:val="18"/>
                <w:szCs w:val="18"/>
              </w:rPr>
            </w:pPr>
          </w:p>
        </w:tc>
        <w:tc>
          <w:tcPr>
            <w:tcW w:w="634" w:type="pct"/>
            <w:vMerge w:val="continue"/>
            <w:vAlign w:val="center"/>
          </w:tcPr>
          <w:p>
            <w:pPr>
              <w:widowControl/>
              <w:adjustRightInd w:val="0"/>
              <w:snapToGrid w:val="0"/>
              <w:spacing w:line="240" w:lineRule="exact"/>
              <w:jc w:val="center"/>
              <w:rPr>
                <w:rFonts w:ascii="宋体" w:hAnsi="宋体" w:eastAsia="宋体" w:cs="宋体"/>
                <w:kern w:val="0"/>
                <w:sz w:val="18"/>
                <w:szCs w:val="18"/>
              </w:rPr>
            </w:pPr>
          </w:p>
        </w:tc>
        <w:tc>
          <w:tcPr>
            <w:tcW w:w="321" w:type="pct"/>
            <w:vMerge w:val="continue"/>
            <w:vAlign w:val="center"/>
          </w:tcPr>
          <w:p>
            <w:pPr>
              <w:widowControl/>
              <w:adjustRightInd w:val="0"/>
              <w:snapToGrid w:val="0"/>
              <w:spacing w:line="240" w:lineRule="exact"/>
              <w:jc w:val="center"/>
              <w:rPr>
                <w:rFonts w:ascii="宋体" w:hAnsi="宋体" w:eastAsia="宋体" w:cs="宋体"/>
                <w:sz w:val="18"/>
                <w:szCs w:val="18"/>
              </w:rPr>
            </w:pPr>
          </w:p>
        </w:tc>
        <w:tc>
          <w:tcPr>
            <w:tcW w:w="3734" w:type="pct"/>
            <w:gridSpan w:val="2"/>
            <w:vAlign w:val="center"/>
          </w:tcPr>
          <w:p>
            <w:pPr>
              <w:widowControl/>
              <w:adjustRightIn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根据项目的售后服务方案（至少包括售后服务承诺、响应时间、响应程度、维保规范、培训、技术指导）合理性、完整性、服务能力等综合情况（1-3分）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12</w:t>
            </w:r>
          </w:p>
        </w:tc>
        <w:tc>
          <w:tcPr>
            <w:tcW w:w="634" w:type="pct"/>
            <w:vAlign w:val="center"/>
          </w:tcPr>
          <w:p>
            <w:pPr>
              <w:widowControl/>
              <w:adjustRightInd w:val="0"/>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免费维护期</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3734" w:type="pct"/>
            <w:gridSpan w:val="2"/>
            <w:vAlign w:val="center"/>
          </w:tcPr>
          <w:p>
            <w:pPr>
              <w:widowControl/>
              <w:adjustRightIn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在系统免费维护期3年的基础上，免费维护期每增加1年得1分，最多得3分。</w:t>
            </w:r>
          </w:p>
          <w:p>
            <w:pPr>
              <w:widowControl/>
              <w:adjustRightInd w:val="0"/>
              <w:spacing w:line="240" w:lineRule="exact"/>
              <w:rPr>
                <w:rFonts w:ascii="宋体" w:hAnsi="宋体" w:eastAsia="宋体" w:cs="宋体"/>
                <w:sz w:val="18"/>
                <w:szCs w:val="18"/>
              </w:rPr>
            </w:pPr>
            <w:r>
              <w:rPr>
                <w:rFonts w:hint="eastAsia" w:ascii="宋体" w:hAnsi="宋体" w:eastAsia="宋体" w:cs="宋体"/>
                <w:b/>
                <w:bCs/>
                <w:sz w:val="18"/>
                <w:szCs w:val="18"/>
                <w:u w:val="single"/>
              </w:rPr>
              <w:t>▲系统免费维护期小于3年的作无效标处理</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ind w:left="-109" w:leftChars="-52" w:right="3"/>
              <w:jc w:val="center"/>
              <w:rPr>
                <w:rFonts w:ascii="宋体" w:hAnsi="宋体" w:eastAsia="宋体" w:cs="宋体"/>
                <w:spacing w:val="4"/>
                <w:sz w:val="18"/>
                <w:szCs w:val="18"/>
              </w:rPr>
            </w:pPr>
            <w:r>
              <w:rPr>
                <w:rFonts w:hint="eastAsia" w:ascii="宋体" w:hAnsi="宋体" w:eastAsia="宋体" w:cs="宋体"/>
                <w:spacing w:val="4"/>
                <w:sz w:val="18"/>
                <w:szCs w:val="18"/>
              </w:rPr>
              <w:t>13</w:t>
            </w:r>
          </w:p>
        </w:tc>
        <w:tc>
          <w:tcPr>
            <w:tcW w:w="634" w:type="pct"/>
            <w:vAlign w:val="center"/>
          </w:tcPr>
          <w:p>
            <w:pPr>
              <w:widowControl/>
              <w:adjustRightInd w:val="0"/>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期满后费用</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3734" w:type="pct"/>
            <w:gridSpan w:val="2"/>
            <w:vAlign w:val="center"/>
          </w:tcPr>
          <w:p>
            <w:pPr>
              <w:widowControl/>
              <w:adjustRightInd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系统免费维保期</w:t>
            </w:r>
            <w:r>
              <w:rPr>
                <w:rFonts w:ascii="宋体" w:hAnsi="宋体" w:eastAsia="宋体" w:cs="宋体"/>
                <w:sz w:val="18"/>
                <w:szCs w:val="18"/>
              </w:rPr>
              <w:t>满后售后服务报价及分项报价，0-</w:t>
            </w:r>
            <w:r>
              <w:rPr>
                <w:rFonts w:hint="eastAsia" w:ascii="宋体" w:hAnsi="宋体" w:eastAsia="宋体" w:cs="宋体"/>
                <w:sz w:val="18"/>
                <w:szCs w:val="18"/>
              </w:rPr>
              <w:t>3</w:t>
            </w:r>
            <w:r>
              <w:rPr>
                <w:rFonts w:ascii="宋体" w:hAnsi="宋体" w:eastAsia="宋体" w:cs="宋体"/>
                <w:sz w:val="18"/>
                <w:szCs w:val="18"/>
              </w:rPr>
              <w:t>分，根据报价由低到高的顺序进行排序，第1名</w:t>
            </w:r>
            <w:r>
              <w:rPr>
                <w:rFonts w:hint="eastAsia" w:ascii="宋体" w:hAnsi="宋体" w:eastAsia="宋体" w:cs="宋体"/>
                <w:sz w:val="18"/>
                <w:szCs w:val="18"/>
              </w:rPr>
              <w:t>3</w:t>
            </w:r>
            <w:r>
              <w:rPr>
                <w:rFonts w:ascii="宋体" w:hAnsi="宋体" w:eastAsia="宋体" w:cs="宋体"/>
                <w:sz w:val="18"/>
                <w:szCs w:val="18"/>
              </w:rPr>
              <w:t>分，第2名得</w:t>
            </w:r>
            <w:r>
              <w:rPr>
                <w:rFonts w:hint="eastAsia" w:ascii="宋体" w:hAnsi="宋体" w:eastAsia="宋体" w:cs="宋体"/>
                <w:sz w:val="18"/>
                <w:szCs w:val="18"/>
              </w:rPr>
              <w:t>2</w:t>
            </w:r>
            <w:r>
              <w:rPr>
                <w:rFonts w:ascii="宋体" w:hAnsi="宋体" w:eastAsia="宋体" w:cs="宋体"/>
                <w:sz w:val="18"/>
                <w:szCs w:val="18"/>
              </w:rPr>
              <w:t>.5分，第3名得2分。第4名得1.5分，第5名及以后得0.5分，报价相同（排名相同）的得分相同。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Align w:val="center"/>
          </w:tcPr>
          <w:p>
            <w:pPr>
              <w:adjustRightInd w:val="0"/>
              <w:ind w:left="-109" w:leftChars="-52" w:right="3"/>
              <w:jc w:val="center"/>
              <w:rPr>
                <w:rFonts w:ascii="宋体" w:hAnsi="宋体" w:eastAsia="宋体" w:cs="宋体"/>
                <w:spacing w:val="4"/>
                <w:sz w:val="18"/>
                <w:szCs w:val="18"/>
              </w:rPr>
            </w:pPr>
          </w:p>
        </w:tc>
        <w:tc>
          <w:tcPr>
            <w:tcW w:w="634" w:type="pct"/>
            <w:vAlign w:val="center"/>
          </w:tcPr>
          <w:p>
            <w:pPr>
              <w:widowControl/>
              <w:adjustRightInd w:val="0"/>
              <w:snapToGrid w:val="0"/>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321" w:type="pct"/>
            <w:vAlign w:val="center"/>
          </w:tcPr>
          <w:p>
            <w:pPr>
              <w:widowControl/>
              <w:adjustRightInd w:val="0"/>
              <w:snapToGrid w:val="0"/>
              <w:spacing w:line="240" w:lineRule="exact"/>
              <w:jc w:val="center"/>
              <w:rPr>
                <w:rFonts w:ascii="宋体" w:hAnsi="宋体" w:eastAsia="宋体" w:cs="宋体"/>
                <w:sz w:val="18"/>
                <w:szCs w:val="18"/>
              </w:rPr>
            </w:pPr>
            <w:r>
              <w:rPr>
                <w:rFonts w:ascii="宋体" w:hAnsi="宋体" w:eastAsia="宋体" w:cs="宋体"/>
                <w:sz w:val="18"/>
                <w:szCs w:val="18"/>
              </w:rPr>
              <w:fldChar w:fldCharType="begin"/>
            </w:r>
            <w:r>
              <w:rPr>
                <w:rFonts w:ascii="宋体" w:hAnsi="宋体" w:eastAsia="宋体" w:cs="宋体"/>
                <w:sz w:val="18"/>
                <w:szCs w:val="18"/>
              </w:rPr>
              <w:instrText xml:space="preserve"> =SUM(ABOVE) \* MERGEFORMAT </w:instrText>
            </w:r>
            <w:r>
              <w:rPr>
                <w:rFonts w:ascii="宋体" w:hAnsi="宋体" w:eastAsia="宋体" w:cs="宋体"/>
                <w:sz w:val="18"/>
                <w:szCs w:val="18"/>
              </w:rPr>
              <w:fldChar w:fldCharType="separate"/>
            </w:r>
            <w:r>
              <w:rPr>
                <w:rFonts w:ascii="宋体" w:hAnsi="宋体" w:eastAsia="宋体" w:cs="宋体"/>
                <w:sz w:val="18"/>
                <w:szCs w:val="18"/>
              </w:rPr>
              <w:t>85</w:t>
            </w:r>
            <w:r>
              <w:rPr>
                <w:rFonts w:ascii="宋体" w:hAnsi="宋体" w:eastAsia="宋体" w:cs="宋体"/>
                <w:sz w:val="18"/>
                <w:szCs w:val="18"/>
              </w:rPr>
              <w:fldChar w:fldCharType="end"/>
            </w:r>
          </w:p>
        </w:tc>
        <w:tc>
          <w:tcPr>
            <w:tcW w:w="3734" w:type="pct"/>
            <w:gridSpan w:val="2"/>
            <w:vAlign w:val="center"/>
          </w:tcPr>
          <w:p>
            <w:pPr>
              <w:widowControl/>
              <w:adjustRightInd w:val="0"/>
              <w:spacing w:line="240" w:lineRule="exact"/>
              <w:rPr>
                <w:rFonts w:ascii="宋体" w:hAnsi="宋体" w:eastAsia="宋体" w:cs="宋体"/>
                <w:sz w:val="18"/>
                <w:szCs w:val="18"/>
              </w:rPr>
            </w:pPr>
          </w:p>
        </w:tc>
      </w:tr>
    </w:tbl>
    <w:p>
      <w:pPr>
        <w:overflowPunct w:val="0"/>
        <w:ind w:firstLine="440" w:firstLineChars="200"/>
        <w:rPr>
          <w:rFonts w:ascii="宋体" w:hAnsi="宋体" w:eastAsia="宋体" w:cs="宋体"/>
          <w:sz w:val="22"/>
        </w:rPr>
      </w:pPr>
    </w:p>
    <w:p>
      <w:pPr>
        <w:overflowPunct w:val="0"/>
        <w:ind w:firstLine="440" w:firstLineChars="200"/>
        <w:rPr>
          <w:rFonts w:ascii="宋体" w:hAnsi="宋体" w:eastAsia="宋体" w:cs="宋体"/>
          <w:sz w:val="22"/>
        </w:rPr>
      </w:pPr>
      <w:r>
        <w:rPr>
          <w:rFonts w:hint="eastAsia" w:ascii="宋体" w:hAnsi="宋体" w:eastAsia="宋体" w:cs="宋体"/>
          <w:sz w:val="22"/>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overflowPunct w:val="0"/>
        <w:ind w:firstLine="442" w:firstLineChars="200"/>
        <w:rPr>
          <w:rFonts w:ascii="宋体" w:hAnsi="宋体" w:eastAsia="宋体" w:cs="宋体"/>
          <w:b/>
          <w:sz w:val="22"/>
        </w:rPr>
      </w:pPr>
      <w:bookmarkStart w:id="400" w:name="_Hlk11188594"/>
      <w:r>
        <w:rPr>
          <w:rFonts w:hint="eastAsia" w:ascii="宋体" w:hAnsi="宋体" w:eastAsia="宋体" w:cs="宋体"/>
          <w:b/>
          <w:sz w:val="22"/>
        </w:rPr>
        <w:t>2）</w:t>
      </w:r>
      <w:r>
        <w:rPr>
          <w:rFonts w:hint="eastAsia" w:ascii="宋体" w:hAnsi="宋体" w:eastAsia="宋体" w:cs="宋体"/>
          <w:sz w:val="22"/>
          <w:u w:val="single"/>
        </w:rPr>
        <w:t>投标供应商若提交原件资料的，应将原件单独包封（密封形式不限），与投标文件一同在投标截至时间前递交给采购代理机构，投标截至时间后，不允许补充原件。</w:t>
      </w:r>
    </w:p>
    <w:p>
      <w:pPr>
        <w:rPr>
          <w:rFonts w:ascii="宋体" w:hAnsi="宋体" w:eastAsia="宋体" w:cs="宋体"/>
          <w:b/>
          <w:sz w:val="22"/>
        </w:rPr>
      </w:pPr>
      <w:r>
        <w:rPr>
          <w:rFonts w:hint="eastAsia" w:ascii="宋体" w:hAnsi="宋体" w:eastAsia="宋体" w:cs="宋体"/>
          <w:b/>
          <w:sz w:val="22"/>
        </w:rPr>
        <w:t>2、商务（报价）评分（15分）：</w:t>
      </w:r>
    </w:p>
    <w:bookmarkEnd w:id="400"/>
    <w:p>
      <w:pPr>
        <w:ind w:firstLine="440" w:firstLineChars="200"/>
        <w:rPr>
          <w:rFonts w:ascii="宋体" w:hAnsi="宋体" w:eastAsia="宋体" w:cs="宋体"/>
          <w:sz w:val="22"/>
        </w:rPr>
      </w:pPr>
      <w:bookmarkStart w:id="401" w:name="_Hlk11191261"/>
      <w:r>
        <w:rPr>
          <w:rFonts w:hint="eastAsia" w:ascii="宋体" w:hAnsi="宋体" w:eastAsia="宋体" w:cs="宋体"/>
          <w:sz w:val="22"/>
        </w:rPr>
        <w:t>1) 评标基准价的确定：</w:t>
      </w:r>
    </w:p>
    <w:p>
      <w:pPr>
        <w:ind w:firstLine="440" w:firstLineChars="200"/>
        <w:rPr>
          <w:rFonts w:ascii="宋体" w:hAnsi="宋体" w:eastAsia="宋体" w:cs="宋体"/>
          <w:sz w:val="22"/>
        </w:rPr>
      </w:pPr>
      <w:r>
        <w:rPr>
          <w:rFonts w:hint="eastAsia" w:ascii="宋体" w:hAnsi="宋体" w:eastAsia="宋体" w:cs="宋体"/>
          <w:sz w:val="22"/>
        </w:rPr>
        <w:t>出现以下情况时，该投标报价不进入评标基准价的计算范围（投标报价以投标人开标一览表中的投标总报价为准，下同）：①投标人的投标总报价超过最高限价的</w:t>
      </w:r>
      <w:r>
        <w:rPr>
          <w:rFonts w:hint="eastAsia" w:ascii="宋体" w:hAnsi="宋体" w:eastAsia="宋体" w:cs="宋体"/>
          <w:b/>
          <w:bCs/>
          <w:sz w:val="22"/>
          <w:u w:val="single"/>
        </w:rPr>
        <w:t>(</w:t>
      </w:r>
      <w:r>
        <w:rPr>
          <w:rFonts w:hint="eastAsia" w:ascii="宋体" w:hAnsi="宋体" w:eastAsia="宋体" w:cs="宋体"/>
          <w:b/>
          <w:bCs/>
          <w:kern w:val="0"/>
          <w:sz w:val="22"/>
          <w:szCs w:val="24"/>
          <w:u w:val="single"/>
        </w:rPr>
        <w:t>本</w:t>
      </w:r>
      <w:r>
        <w:rPr>
          <w:rFonts w:hint="eastAsia" w:ascii="宋体" w:hAnsi="宋体" w:eastAsia="宋体" w:cs="宋体"/>
          <w:b/>
          <w:bCs/>
          <w:sz w:val="22"/>
          <w:u w:val="single"/>
        </w:rPr>
        <w:t>项目最高限价为人民币438万元)</w:t>
      </w:r>
      <w:r>
        <w:rPr>
          <w:rFonts w:hint="eastAsia" w:ascii="宋体" w:hAnsi="宋体" w:eastAsia="宋体" w:cs="宋体"/>
          <w:sz w:val="22"/>
        </w:rPr>
        <w:t>；②未提供开标一览表或开标一览表中无报价或开标一览表中出现两个及以上不同总报价且未声明哪一个有效的（大小写不一致除外）；③开标后经评标委员会初评（资格性审查、符合性审查）作无效标处理的。</w:t>
      </w:r>
    </w:p>
    <w:p>
      <w:pPr>
        <w:ind w:firstLine="440" w:firstLineChars="200"/>
        <w:rPr>
          <w:rFonts w:ascii="宋体" w:hAnsi="宋体" w:eastAsia="宋体" w:cs="宋体"/>
          <w:sz w:val="22"/>
        </w:rPr>
      </w:pPr>
      <w:r>
        <w:rPr>
          <w:rFonts w:hint="eastAsia" w:ascii="宋体" w:hAnsi="宋体" w:eastAsia="宋体" w:cs="宋体"/>
          <w:sz w:val="22"/>
        </w:rPr>
        <w:t>除上述情况外的投标人按技术资信标得分由高到低顺序，取技术资信标得分排名前三位的投标人的投标总报价的算术平均值作为为评标基准价；</w:t>
      </w:r>
    </w:p>
    <w:p>
      <w:pPr>
        <w:ind w:firstLine="440" w:firstLineChars="200"/>
        <w:rPr>
          <w:rFonts w:ascii="宋体" w:hAnsi="宋体" w:eastAsia="宋体" w:cs="宋体"/>
          <w:sz w:val="22"/>
        </w:rPr>
      </w:pPr>
      <w:r>
        <w:rPr>
          <w:rFonts w:hint="eastAsia" w:ascii="宋体" w:hAnsi="宋体" w:eastAsia="宋体" w:cs="宋体"/>
          <w:sz w:val="22"/>
        </w:rPr>
        <w:t>2）商务（报价）分计算：</w:t>
      </w:r>
    </w:p>
    <w:p>
      <w:pPr>
        <w:ind w:firstLine="440" w:firstLineChars="200"/>
        <w:rPr>
          <w:rFonts w:ascii="宋体" w:hAnsi="宋体" w:eastAsia="宋体" w:cs="宋体"/>
          <w:sz w:val="22"/>
        </w:rPr>
      </w:pPr>
      <w:r>
        <w:rPr>
          <w:rFonts w:hint="eastAsia" w:ascii="宋体" w:hAnsi="宋体" w:eastAsia="宋体" w:cs="宋体"/>
          <w:sz w:val="22"/>
        </w:rPr>
        <w:t>（1）投标总报价等于评标基准价的商务（报价）标得满分15分；</w:t>
      </w:r>
    </w:p>
    <w:p>
      <w:pPr>
        <w:ind w:firstLine="440" w:firstLineChars="200"/>
        <w:rPr>
          <w:rFonts w:ascii="宋体" w:hAnsi="宋体" w:eastAsia="宋体" w:cs="宋体"/>
          <w:sz w:val="22"/>
        </w:rPr>
      </w:pPr>
      <w:r>
        <w:rPr>
          <w:rFonts w:hint="eastAsia" w:ascii="宋体" w:hAnsi="宋体" w:eastAsia="宋体" w:cs="宋体"/>
          <w:sz w:val="22"/>
        </w:rPr>
        <w:t>（2）投标总报价高于评标基准价的，每上升1%扣0.15分；</w:t>
      </w:r>
    </w:p>
    <w:p>
      <w:pPr>
        <w:ind w:firstLine="440" w:firstLineChars="200"/>
        <w:rPr>
          <w:rFonts w:ascii="宋体" w:hAnsi="宋体" w:eastAsia="宋体" w:cs="宋体"/>
          <w:sz w:val="22"/>
        </w:rPr>
      </w:pPr>
      <w:r>
        <w:rPr>
          <w:rFonts w:hint="eastAsia" w:ascii="宋体" w:hAnsi="宋体" w:eastAsia="宋体" w:cs="宋体"/>
          <w:sz w:val="22"/>
        </w:rPr>
        <w:t>（3）投标总报价低于评标基准价的，每下降1%扣0.1分；</w:t>
      </w:r>
    </w:p>
    <w:p>
      <w:pPr>
        <w:ind w:firstLine="440" w:firstLineChars="200"/>
        <w:rPr>
          <w:rFonts w:ascii="宋体" w:hAnsi="宋体" w:eastAsia="宋体" w:cs="宋体"/>
          <w:sz w:val="22"/>
        </w:rPr>
      </w:pPr>
      <w:r>
        <w:rPr>
          <w:rFonts w:hint="eastAsia" w:ascii="宋体" w:hAnsi="宋体" w:eastAsia="宋体" w:cs="宋体"/>
          <w:sz w:val="22"/>
        </w:rPr>
        <w:t>（4）计算商务（报价）分时四舍五入，保留小数点后二位。</w:t>
      </w:r>
    </w:p>
    <w:bookmarkEnd w:id="401"/>
    <w:p>
      <w:pPr>
        <w:rPr>
          <w:rFonts w:ascii="宋体" w:hAnsi="宋体" w:eastAsia="宋体" w:cs="宋体"/>
          <w:b/>
          <w:sz w:val="22"/>
        </w:rPr>
      </w:pPr>
      <w:r>
        <w:rPr>
          <w:rFonts w:hint="eastAsia" w:ascii="宋体" w:hAnsi="宋体" w:eastAsia="宋体" w:cs="宋体"/>
          <w:sz w:val="22"/>
        </w:rPr>
        <w:t xml:space="preserve">    </w:t>
      </w:r>
      <w:r>
        <w:rPr>
          <w:rFonts w:hint="eastAsia" w:ascii="宋体" w:hAnsi="宋体" w:eastAsia="宋体" w:cs="宋体"/>
          <w:b/>
          <w:sz w:val="22"/>
        </w:rPr>
        <w:t>3、本次采购最高限价为人民币438万元, 如投标供应商报价超过最高限价按无效标处理。</w:t>
      </w:r>
    </w:p>
    <w:p>
      <w:pPr>
        <w:rPr>
          <w:rFonts w:ascii="宋体" w:hAnsi="宋体" w:eastAsia="宋体" w:cs="宋体"/>
          <w:sz w:val="22"/>
        </w:rPr>
      </w:pPr>
      <w:r>
        <w:rPr>
          <w:rFonts w:hint="eastAsia" w:ascii="宋体" w:hAnsi="宋体" w:eastAsia="宋体" w:cs="宋体"/>
          <w:b/>
          <w:sz w:val="22"/>
        </w:rPr>
        <w:t xml:space="preserve">    4、如所有投标供应商报价均超过最高限价，此项目废标，应重新组织招标。</w:t>
      </w:r>
    </w:p>
    <w:p>
      <w:pPr>
        <w:ind w:firstLine="440" w:firstLineChars="200"/>
        <w:rPr>
          <w:rFonts w:ascii="宋体" w:hAnsi="宋体" w:eastAsia="宋体" w:cs="宋体"/>
          <w:sz w:val="22"/>
        </w:rPr>
      </w:pPr>
      <w:r>
        <w:rPr>
          <w:rFonts w:hint="eastAsia" w:ascii="宋体" w:hAnsi="宋体" w:eastAsia="宋体" w:cs="宋体"/>
          <w:sz w:val="22"/>
        </w:rPr>
        <w:t>5、各有效投标供应商的综合得分为技术资信分和商务（报价）分的总和。</w:t>
      </w:r>
    </w:p>
    <w:p>
      <w:pPr>
        <w:ind w:firstLine="440" w:firstLineChars="200"/>
        <w:rPr>
          <w:rFonts w:ascii="宋体" w:hAnsi="宋体" w:eastAsia="宋体" w:cs="宋体"/>
          <w:sz w:val="22"/>
        </w:rPr>
      </w:pPr>
      <w:r>
        <w:rPr>
          <w:rFonts w:hint="eastAsia" w:ascii="宋体" w:hAnsi="宋体" w:eastAsia="宋体" w:cs="宋体"/>
          <w:sz w:val="22"/>
        </w:rPr>
        <w:t>6、评标委员会按各有效投标供应商综合得分高低顺序排列，综合得分第一名的投标人作为中标候选供应商，并提交评标报告。</w:t>
      </w:r>
    </w:p>
    <w:p>
      <w:pPr>
        <w:ind w:firstLine="440" w:firstLineChars="200"/>
        <w:rPr>
          <w:rFonts w:ascii="宋体" w:hAnsi="宋体" w:eastAsia="宋体" w:cs="宋体"/>
          <w:b/>
          <w:sz w:val="22"/>
          <w:szCs w:val="24"/>
        </w:rPr>
      </w:pPr>
      <w:r>
        <w:rPr>
          <w:rFonts w:hint="eastAsia" w:ascii="宋体" w:hAnsi="宋体" w:eastAsia="宋体" w:cs="宋体"/>
          <w:sz w:val="22"/>
        </w:rPr>
        <w:t>7、评标委员会、</w:t>
      </w:r>
      <w:r>
        <w:rPr>
          <w:rFonts w:hint="eastAsia" w:ascii="宋体" w:hAnsi="宋体" w:eastAsia="宋体" w:cs="宋体"/>
          <w:bCs/>
          <w:sz w:val="22"/>
        </w:rPr>
        <w:t>采购人对决标结果不做任何解释，也不保证最低价中标。</w:t>
      </w:r>
    </w:p>
    <w:p>
      <w:pPr>
        <w:rPr>
          <w:rFonts w:ascii="宋体" w:hAnsi="宋体" w:eastAsia="宋体" w:cs="宋体"/>
          <w:b/>
          <w:sz w:val="22"/>
          <w:szCs w:val="24"/>
        </w:rPr>
      </w:pPr>
      <w:r>
        <w:rPr>
          <w:rFonts w:hint="eastAsia" w:ascii="宋体" w:hAnsi="宋体" w:eastAsia="宋体" w:cs="宋体"/>
          <w:b/>
          <w:sz w:val="22"/>
          <w:szCs w:val="24"/>
        </w:rPr>
        <w:t>六、定标办法</w:t>
      </w:r>
      <w:bookmarkStart w:id="402" w:name="_Toc221356904"/>
      <w:bookmarkStart w:id="403" w:name="_Toc221356967"/>
    </w:p>
    <w:p>
      <w:pPr>
        <w:ind w:left="424" w:leftChars="1" w:hanging="422" w:hangingChars="191"/>
        <w:rPr>
          <w:rFonts w:ascii="宋体" w:hAnsi="宋体" w:eastAsia="宋体" w:cs="宋体"/>
        </w:rPr>
      </w:pPr>
      <w:r>
        <w:rPr>
          <w:rFonts w:hint="eastAsia" w:ascii="宋体" w:hAnsi="宋体" w:eastAsia="宋体" w:cs="宋体"/>
          <w:b/>
          <w:sz w:val="22"/>
          <w:szCs w:val="24"/>
        </w:rPr>
        <w:t xml:space="preserve">1、 </w:t>
      </w:r>
      <w:r>
        <w:rPr>
          <w:rFonts w:hint="eastAsia" w:ascii="宋体" w:hAnsi="宋体" w:eastAsia="宋体" w:cs="宋体"/>
          <w:sz w:val="22"/>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ascii="宋体" w:hAnsi="宋体" w:eastAsia="宋体" w:cs="宋体"/>
          <w:sz w:val="22"/>
        </w:rPr>
      </w:pPr>
      <w:r>
        <w:rPr>
          <w:rFonts w:hint="eastAsia" w:ascii="宋体" w:hAnsi="宋体" w:eastAsia="宋体" w:cs="宋体"/>
          <w:sz w:val="22"/>
        </w:rPr>
        <w:t>2、采购人根据评标委员会的意见进行最终确认中标候选人</w:t>
      </w:r>
      <w:r>
        <w:rPr>
          <w:rFonts w:hint="eastAsia" w:ascii="宋体" w:hAnsi="宋体" w:eastAsia="宋体" w:cs="宋体"/>
          <w:b/>
          <w:sz w:val="22"/>
        </w:rPr>
        <w:t>。</w:t>
      </w:r>
    </w:p>
    <w:p>
      <w:pPr>
        <w:ind w:left="425" w:hanging="424" w:hangingChars="193"/>
        <w:rPr>
          <w:rFonts w:ascii="宋体" w:hAnsi="宋体" w:eastAsia="宋体" w:cs="宋体"/>
          <w:sz w:val="22"/>
        </w:rPr>
      </w:pPr>
      <w:r>
        <w:rPr>
          <w:rFonts w:hint="eastAsia" w:ascii="宋体" w:hAnsi="宋体" w:eastAsia="宋体" w:cs="宋体"/>
          <w:sz w:val="22"/>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rPr>
          <w:rFonts w:ascii="宋体" w:hAnsi="宋体" w:eastAsia="宋体" w:cs="宋体"/>
          <w:b/>
          <w:sz w:val="22"/>
          <w:szCs w:val="24"/>
        </w:rPr>
      </w:pPr>
      <w:r>
        <w:rPr>
          <w:rFonts w:hint="eastAsia" w:ascii="宋体" w:hAnsi="宋体" w:eastAsia="宋体" w:cs="宋体"/>
          <w:b/>
          <w:sz w:val="22"/>
          <w:szCs w:val="24"/>
        </w:rPr>
        <w:t>七、确定中标人</w:t>
      </w:r>
      <w:bookmarkEnd w:id="402"/>
      <w:bookmarkEnd w:id="403"/>
    </w:p>
    <w:p>
      <w:pPr>
        <w:ind w:firstLine="440" w:firstLineChars="200"/>
        <w:rPr>
          <w:rFonts w:ascii="宋体" w:hAnsi="宋体" w:eastAsia="宋体" w:cs="宋体"/>
          <w:sz w:val="22"/>
        </w:rPr>
      </w:pPr>
      <w:r>
        <w:rPr>
          <w:rFonts w:hint="eastAsia" w:ascii="宋体" w:hAnsi="宋体" w:eastAsia="宋体" w:cs="宋体"/>
          <w:sz w:val="22"/>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ascii="宋体" w:hAnsi="宋体" w:eastAsia="宋体" w:cs="宋体"/>
          <w:sz w:val="22"/>
        </w:rPr>
      </w:pPr>
      <w:r>
        <w:rPr>
          <w:rFonts w:hint="eastAsia" w:ascii="宋体" w:hAnsi="宋体" w:eastAsia="宋体" w:cs="宋体"/>
          <w:sz w:val="22"/>
        </w:rPr>
        <w:t>各投标人对评标结果如有异议，可在中标结果公告之日起7个工作日内以书面形式向采购人进行署名投诉或提出质疑，但需对投诉或质疑内容的真实性承担法律责任。</w:t>
      </w:r>
    </w:p>
    <w:p>
      <w:pPr>
        <w:rPr>
          <w:rFonts w:ascii="宋体" w:hAnsi="宋体" w:eastAsia="宋体" w:cs="宋体"/>
          <w:b/>
          <w:sz w:val="22"/>
          <w:szCs w:val="24"/>
        </w:rPr>
      </w:pPr>
      <w:r>
        <w:rPr>
          <w:rFonts w:hint="eastAsia" w:ascii="宋体" w:hAnsi="宋体" w:eastAsia="宋体" w:cs="宋体"/>
          <w:b/>
          <w:sz w:val="22"/>
          <w:szCs w:val="24"/>
        </w:rPr>
        <w:t>八、投标人义务</w:t>
      </w:r>
    </w:p>
    <w:p>
      <w:pPr>
        <w:ind w:firstLine="440" w:firstLineChars="200"/>
        <w:rPr>
          <w:rFonts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1130" cy="2101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51130" cy="210185"/>
                      </a:xfrm>
                      <a:prstGeom prst="rect">
                        <a:avLst/>
                      </a:prstGeom>
                      <a:noFill/>
                      <a:ln w="15875">
                        <a:noFill/>
                      </a:ln>
                      <a:effectLst/>
                    </wps:spPr>
                    <wps:txbx>
                      <w:txbxContent>
                        <w:p>
                          <w:pPr>
                            <w:pStyle w:val="15"/>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lIns="0" tIns="0" rIns="0" bIns="0"/>
                  </wps:wsp>
                </a:graphicData>
              </a:graphic>
            </wp:anchor>
          </w:drawing>
        </mc:Choice>
        <mc:Fallback>
          <w:pict>
            <v:shape id="_x0000_s1026" o:spid="_x0000_s1026" o:spt="202" type="#_x0000_t202" style="position:absolute;left:0pt;margin-top:0pt;height:16.55pt;width:11.9pt;mso-position-horizontal:center;mso-position-horizontal-relative:margin;z-index:251659264;mso-width-relative:page;mso-height-relative:page;" filled="f" stroked="f" coordsize="21600,21600" o:gfxdata="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ZUZHNMAAAADAQAADwAAAAAAAAAB&#10;ACAAAAAiAAAAZHJzL2Rvd25yZXYueG1sUEsBAhQAFAAAAAgAh07iQOobWI2jAQAALwMAAA4AAAAA&#10;AAAAAQAgAAAAIgEAAGRycy9lMm9Eb2MueG1sUEsFBgAAAAAGAAYAWQEAADcFAAAAAA==&#10;">
              <v:fill on="f" focussize="0,0"/>
              <v:stroke on="f" weight="1.25pt"/>
              <v:imagedata o:title=""/>
              <o:lock v:ext="edit" aspectratio="f"/>
              <v:textbox inset="0mm,0mm,0mm,0mm">
                <w:txbxContent>
                  <w:p>
                    <w:pPr>
                      <w:pStyle w:val="15"/>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mC&#10;S9MAAAAFAQAADwAAAAAAAAABACAAAAAiAAAAZHJzL2Rvd25yZXYueG1sUEsBAhQAFAAAAAgAh07i&#10;QEJY46y1AQAAVwMAAA4AAAAAAAAAAQAgAAAAIgEAAGRycy9lMm9Eb2MueG1sUEsFBgAAAAAGAAYA&#10;WQEAAEkFAAAAAA==&#10;">
              <v:fill on="f" focussize="0,0"/>
              <v:stroke on="f" weight="1.2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jc w:val="center"/>
                          </w:pPr>
                          <w:r>
                            <w:fldChar w:fldCharType="begin"/>
                          </w:r>
                          <w:r>
                            <w:instrText xml:space="preserve"> PAGE   \* MERGEFORMAT </w:instrText>
                          </w:r>
                          <w:r>
                            <w:fldChar w:fldCharType="separate"/>
                          </w:r>
                          <w:r>
                            <w:rPr>
                              <w:lang w:val="zh-CN"/>
                            </w:rPr>
                            <w:t>19</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k582qtgEAAFcDAAAOAAAAAAAAAAEAIAAAACIBAABkcnMvZTJvRG9jLnhtbFBLBQYAAAAABgAG&#10;AFkBAABKBQAAAAA=&#10;">
              <v:fill on="f" focussize="0,0"/>
              <v:stroke on="f" weight="1.25pt"/>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rPr>
                        <w:lang w:val="zh-CN"/>
                      </w:rPr>
                      <w:t>19</w:t>
                    </w:r>
                    <w:r>
                      <w:rPr>
                        <w:lang w:val="zh-CN"/>
                      </w:rP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07A62F9"/>
    <w:multiLevelType w:val="singleLevel"/>
    <w:tmpl w:val="907A62F9"/>
    <w:lvl w:ilvl="0" w:tentative="0">
      <w:start w:val="1"/>
      <w:numFmt w:val="decimal"/>
      <w:suff w:val="space"/>
      <w:lvlText w:val="%1）"/>
      <w:lvlJc w:val="left"/>
    </w:lvl>
  </w:abstractNum>
  <w:abstractNum w:abstractNumId="2">
    <w:nsid w:val="9E8211EC"/>
    <w:multiLevelType w:val="singleLevel"/>
    <w:tmpl w:val="9E8211EC"/>
    <w:lvl w:ilvl="0" w:tentative="0">
      <w:start w:val="1"/>
      <w:numFmt w:val="decimal"/>
      <w:lvlText w:val="(%1)"/>
      <w:lvlJc w:val="left"/>
      <w:pPr>
        <w:ind w:left="425" w:hanging="425"/>
      </w:pPr>
      <w:rPr>
        <w:rFonts w:hint="default"/>
      </w:rPr>
    </w:lvl>
  </w:abstractNum>
  <w:abstractNum w:abstractNumId="3">
    <w:nsid w:val="A1A364F1"/>
    <w:multiLevelType w:val="singleLevel"/>
    <w:tmpl w:val="A1A364F1"/>
    <w:lvl w:ilvl="0" w:tentative="0">
      <w:start w:val="1"/>
      <w:numFmt w:val="decimal"/>
      <w:suff w:val="nothing"/>
      <w:lvlText w:val="%1、"/>
      <w:lvlJc w:val="left"/>
    </w:lvl>
  </w:abstractNum>
  <w:abstractNum w:abstractNumId="4">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A4263054"/>
    <w:multiLevelType w:val="multilevel"/>
    <w:tmpl w:val="A4263054"/>
    <w:lvl w:ilvl="0" w:tentative="0">
      <w:start w:val="1"/>
      <w:numFmt w:val="decimal"/>
      <w:lvlText w:val="7.%1"/>
      <w:lvlJc w:val="left"/>
      <w:pPr>
        <w:tabs>
          <w:tab w:val="left" w:pos="1416"/>
        </w:tabs>
        <w:ind w:left="1116" w:hanging="1116"/>
      </w:pPr>
      <w:rPr>
        <w:rFonts w:hint="default" w:ascii="宋体" w:hAnsi="宋体" w:eastAsia="宋体" w:cs="宋体"/>
        <w:color w:val="auto"/>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ACCB6629"/>
    <w:multiLevelType w:val="singleLevel"/>
    <w:tmpl w:val="ACCB6629"/>
    <w:lvl w:ilvl="0" w:tentative="0">
      <w:start w:val="1"/>
      <w:numFmt w:val="decimal"/>
      <w:suff w:val="nothing"/>
      <w:lvlText w:val="%1．"/>
      <w:lvlJc w:val="left"/>
      <w:pPr>
        <w:ind w:left="0" w:firstLine="400"/>
      </w:pPr>
      <w:rPr>
        <w:rFonts w:hint="default"/>
      </w:rPr>
    </w:lvl>
  </w:abstractNum>
  <w:abstractNum w:abstractNumId="7">
    <w:nsid w:val="AD24CC93"/>
    <w:multiLevelType w:val="singleLevel"/>
    <w:tmpl w:val="AD24CC93"/>
    <w:lvl w:ilvl="0" w:tentative="0">
      <w:start w:val="1"/>
      <w:numFmt w:val="decimal"/>
      <w:suff w:val="nothing"/>
      <w:lvlText w:val="%1、"/>
      <w:lvlJc w:val="left"/>
    </w:lvl>
  </w:abstractNum>
  <w:abstractNum w:abstractNumId="8">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10D3F6A6"/>
    <w:multiLevelType w:val="singleLevel"/>
    <w:tmpl w:val="10D3F6A6"/>
    <w:lvl w:ilvl="0" w:tentative="0">
      <w:start w:val="1"/>
      <w:numFmt w:val="decimal"/>
      <w:suff w:val="nothing"/>
      <w:lvlText w:val="%1、"/>
      <w:lvlJc w:val="left"/>
    </w:lvl>
  </w:abstractNum>
  <w:abstractNum w:abstractNumId="23">
    <w:nsid w:val="135FCDD8"/>
    <w:multiLevelType w:val="singleLevel"/>
    <w:tmpl w:val="135FCDD8"/>
    <w:lvl w:ilvl="0" w:tentative="0">
      <w:start w:val="1"/>
      <w:numFmt w:val="decimal"/>
      <w:lvlText w:val="(%1)"/>
      <w:lvlJc w:val="left"/>
      <w:pPr>
        <w:ind w:left="425" w:hanging="425"/>
      </w:pPr>
      <w:rPr>
        <w:rFonts w:hint="default"/>
      </w:rPr>
    </w:lvl>
  </w:abstractNum>
  <w:abstractNum w:abstractNumId="24">
    <w:nsid w:val="166750C7"/>
    <w:multiLevelType w:val="singleLevel"/>
    <w:tmpl w:val="166750C7"/>
    <w:lvl w:ilvl="0" w:tentative="0">
      <w:start w:val="1"/>
      <w:numFmt w:val="decimal"/>
      <w:suff w:val="nothing"/>
      <w:lvlText w:val="%1）"/>
      <w:lvlJc w:val="left"/>
    </w:lvl>
  </w:abstractNum>
  <w:abstractNum w:abstractNumId="25">
    <w:nsid w:val="1F3C7495"/>
    <w:multiLevelType w:val="multilevel"/>
    <w:tmpl w:val="1F3C7495"/>
    <w:lvl w:ilvl="0" w:tentative="0">
      <w:start w:val="1"/>
      <w:numFmt w:val="decimal"/>
      <w:lvlText w:val="5.1.%1"/>
      <w:lvlJc w:val="left"/>
      <w:pPr>
        <w:tabs>
          <w:tab w:val="left" w:pos="780"/>
        </w:tabs>
        <w:ind w:left="780" w:hanging="420"/>
      </w:pPr>
      <w:rPr>
        <w:rFonts w:hint="eastAsia"/>
      </w:rPr>
    </w:lvl>
    <w:lvl w:ilvl="1" w:tentative="0">
      <w:start w:val="1"/>
      <w:numFmt w:val="japaneseCounting"/>
      <w:lvlText w:val="%2、"/>
      <w:lvlJc w:val="left"/>
      <w:pPr>
        <w:tabs>
          <w:tab w:val="left" w:pos="1020"/>
        </w:tabs>
        <w:ind w:left="102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CB9D01B"/>
    <w:multiLevelType w:val="singleLevel"/>
    <w:tmpl w:val="2CB9D01B"/>
    <w:lvl w:ilvl="0" w:tentative="0">
      <w:start w:val="1"/>
      <w:numFmt w:val="decimal"/>
      <w:lvlText w:val="%1)"/>
      <w:lvlJc w:val="left"/>
      <w:pPr>
        <w:ind w:left="425" w:hanging="425"/>
      </w:pPr>
      <w:rPr>
        <w:rFonts w:hint="default"/>
      </w:rPr>
    </w:lvl>
  </w:abstractNum>
  <w:abstractNum w:abstractNumId="27">
    <w:nsid w:val="31D52746"/>
    <w:multiLevelType w:val="singleLevel"/>
    <w:tmpl w:val="31D52746"/>
    <w:lvl w:ilvl="0" w:tentative="0">
      <w:start w:val="1"/>
      <w:numFmt w:val="decimal"/>
      <w:lvlText w:val="%1)"/>
      <w:lvlJc w:val="left"/>
      <w:pPr>
        <w:ind w:left="425" w:hanging="425"/>
      </w:pPr>
      <w:rPr>
        <w:rFonts w:hint="default"/>
      </w:rPr>
    </w:lvl>
  </w:abstractNum>
  <w:abstractNum w:abstractNumId="28">
    <w:nsid w:val="34240DA2"/>
    <w:multiLevelType w:val="singleLevel"/>
    <w:tmpl w:val="34240DA2"/>
    <w:lvl w:ilvl="0" w:tentative="0">
      <w:start w:val="1"/>
      <w:numFmt w:val="bullet"/>
      <w:lvlText w:val=""/>
      <w:lvlJc w:val="left"/>
      <w:pPr>
        <w:ind w:left="420" w:hanging="420"/>
      </w:pPr>
      <w:rPr>
        <w:rFonts w:hint="default" w:ascii="Wingdings" w:hAnsi="Wingdings"/>
      </w:rPr>
    </w:lvl>
  </w:abstractNum>
  <w:abstractNum w:abstractNumId="29">
    <w:nsid w:val="4077F839"/>
    <w:multiLevelType w:val="singleLevel"/>
    <w:tmpl w:val="4077F839"/>
    <w:lvl w:ilvl="0" w:tentative="0">
      <w:start w:val="1"/>
      <w:numFmt w:val="decimal"/>
      <w:lvlText w:val="%1)"/>
      <w:lvlJc w:val="left"/>
      <w:pPr>
        <w:ind w:left="425" w:hanging="425"/>
      </w:pPr>
      <w:rPr>
        <w:rFonts w:hint="default"/>
      </w:rPr>
    </w:lvl>
  </w:abstractNum>
  <w:abstractNum w:abstractNumId="30">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31">
    <w:nsid w:val="5957833F"/>
    <w:multiLevelType w:val="singleLevel"/>
    <w:tmpl w:val="5957833F"/>
    <w:lvl w:ilvl="0" w:tentative="0">
      <w:start w:val="1"/>
      <w:numFmt w:val="decimal"/>
      <w:suff w:val="nothing"/>
      <w:lvlText w:val="%1）"/>
      <w:lvlJc w:val="left"/>
    </w:lvl>
  </w:abstractNum>
  <w:abstractNum w:abstractNumId="32">
    <w:nsid w:val="61C91FB3"/>
    <w:multiLevelType w:val="multilevel"/>
    <w:tmpl w:val="61C91FB3"/>
    <w:lvl w:ilvl="0" w:tentative="0">
      <w:start w:val="1"/>
      <w:numFmt w:val="decimal"/>
      <w:pStyle w:val="51"/>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3">
    <w:nsid w:val="6D1DCAE7"/>
    <w:multiLevelType w:val="singleLevel"/>
    <w:tmpl w:val="6D1DCAE7"/>
    <w:lvl w:ilvl="0" w:tentative="0">
      <w:start w:val="1"/>
      <w:numFmt w:val="decimal"/>
      <w:lvlText w:val="%1)"/>
      <w:lvlJc w:val="left"/>
      <w:pPr>
        <w:ind w:left="425" w:hanging="425"/>
      </w:pPr>
      <w:rPr>
        <w:rFonts w:hint="default"/>
      </w:rPr>
    </w:lvl>
  </w:abstractNum>
  <w:abstractNum w:abstractNumId="34">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5">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5A517CC"/>
    <w:multiLevelType w:val="multilevel"/>
    <w:tmpl w:val="75A517CC"/>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305"/>
        </w:tabs>
        <w:ind w:left="1305" w:hanging="360"/>
      </w:pPr>
      <w:rPr>
        <w:rFonts w:hint="eastAsia"/>
      </w:rPr>
    </w:lvl>
    <w:lvl w:ilvl="2" w:tentative="0">
      <w:start w:val="1"/>
      <w:numFmt w:val="decimal"/>
      <w:lvlText w:val="%1.%2.%3"/>
      <w:lvlJc w:val="left"/>
      <w:pPr>
        <w:tabs>
          <w:tab w:val="left" w:pos="2610"/>
        </w:tabs>
        <w:ind w:left="2610" w:hanging="720"/>
      </w:pPr>
      <w:rPr>
        <w:rFonts w:hint="eastAsia"/>
      </w:rPr>
    </w:lvl>
    <w:lvl w:ilvl="3" w:tentative="0">
      <w:start w:val="1"/>
      <w:numFmt w:val="decimal"/>
      <w:lvlText w:val="%1.%2.%3.%4"/>
      <w:lvlJc w:val="left"/>
      <w:pPr>
        <w:tabs>
          <w:tab w:val="left" w:pos="3915"/>
        </w:tabs>
        <w:ind w:left="3915" w:hanging="1080"/>
      </w:pPr>
      <w:rPr>
        <w:rFonts w:hint="eastAsia"/>
      </w:rPr>
    </w:lvl>
    <w:lvl w:ilvl="4" w:tentative="0">
      <w:start w:val="1"/>
      <w:numFmt w:val="decimal"/>
      <w:lvlText w:val="%1.%2.%3.%4.%5"/>
      <w:lvlJc w:val="left"/>
      <w:pPr>
        <w:tabs>
          <w:tab w:val="left" w:pos="4860"/>
        </w:tabs>
        <w:ind w:left="4860" w:hanging="1080"/>
      </w:pPr>
      <w:rPr>
        <w:rFonts w:hint="eastAsia"/>
      </w:rPr>
    </w:lvl>
    <w:lvl w:ilvl="5" w:tentative="0">
      <w:start w:val="1"/>
      <w:numFmt w:val="decimal"/>
      <w:lvlText w:val="%1.%2.%3.%4.%5.%6"/>
      <w:lvlJc w:val="left"/>
      <w:pPr>
        <w:tabs>
          <w:tab w:val="left" w:pos="6165"/>
        </w:tabs>
        <w:ind w:left="6165" w:hanging="1440"/>
      </w:pPr>
      <w:rPr>
        <w:rFonts w:hint="eastAsia"/>
      </w:rPr>
    </w:lvl>
    <w:lvl w:ilvl="6" w:tentative="0">
      <w:start w:val="1"/>
      <w:numFmt w:val="decimal"/>
      <w:lvlText w:val="%1.%2.%3.%4.%5.%6.%7"/>
      <w:lvlJc w:val="left"/>
      <w:pPr>
        <w:tabs>
          <w:tab w:val="left" w:pos="7470"/>
        </w:tabs>
        <w:ind w:left="7470" w:hanging="1800"/>
      </w:pPr>
      <w:rPr>
        <w:rFonts w:hint="eastAsia"/>
      </w:rPr>
    </w:lvl>
    <w:lvl w:ilvl="7" w:tentative="0">
      <w:start w:val="1"/>
      <w:numFmt w:val="decimal"/>
      <w:lvlText w:val="%1.%2.%3.%4.%5.%6.%7.%8"/>
      <w:lvlJc w:val="left"/>
      <w:pPr>
        <w:tabs>
          <w:tab w:val="left" w:pos="8415"/>
        </w:tabs>
        <w:ind w:left="8415" w:hanging="1800"/>
      </w:pPr>
      <w:rPr>
        <w:rFonts w:hint="eastAsia"/>
      </w:rPr>
    </w:lvl>
    <w:lvl w:ilvl="8" w:tentative="0">
      <w:start w:val="1"/>
      <w:numFmt w:val="decimal"/>
      <w:lvlText w:val="%1.%2.%3.%4.%5.%6.%7.%8.%9"/>
      <w:lvlJc w:val="left"/>
      <w:pPr>
        <w:tabs>
          <w:tab w:val="left" w:pos="9720"/>
        </w:tabs>
        <w:ind w:left="9720" w:hanging="2160"/>
      </w:pPr>
      <w:rPr>
        <w:rFonts w:hint="eastAsia"/>
      </w:rPr>
    </w:lvl>
  </w:abstractNum>
  <w:abstractNum w:abstractNumId="37">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D38F93B"/>
    <w:multiLevelType w:val="singleLevel"/>
    <w:tmpl w:val="7D38F93B"/>
    <w:lvl w:ilvl="0" w:tentative="0">
      <w:start w:val="1"/>
      <w:numFmt w:val="decimal"/>
      <w:lvlText w:val="%1)"/>
      <w:lvlJc w:val="left"/>
      <w:pPr>
        <w:ind w:left="425" w:hanging="425"/>
      </w:pPr>
      <w:rPr>
        <w:rFonts w:hint="default"/>
      </w:rPr>
    </w:lvl>
  </w:abstractNum>
  <w:num w:numId="1">
    <w:abstractNumId w:val="32"/>
  </w:num>
  <w:num w:numId="2">
    <w:abstractNumId w:val="35"/>
  </w:num>
  <w:num w:numId="3">
    <w:abstractNumId w:val="10"/>
  </w:num>
  <w:num w:numId="4">
    <w:abstractNumId w:val="22"/>
  </w:num>
  <w:num w:numId="5">
    <w:abstractNumId w:val="9"/>
  </w:num>
  <w:num w:numId="6">
    <w:abstractNumId w:val="12"/>
  </w:num>
  <w:num w:numId="7">
    <w:abstractNumId w:val="20"/>
  </w:num>
  <w:num w:numId="8">
    <w:abstractNumId w:val="17"/>
  </w:num>
  <w:num w:numId="9">
    <w:abstractNumId w:val="19"/>
  </w:num>
  <w:num w:numId="10">
    <w:abstractNumId w:val="37"/>
  </w:num>
  <w:num w:numId="11">
    <w:abstractNumId w:val="15"/>
  </w:num>
  <w:num w:numId="12">
    <w:abstractNumId w:val="16"/>
  </w:num>
  <w:num w:numId="13">
    <w:abstractNumId w:val="11"/>
  </w:num>
  <w:num w:numId="14">
    <w:abstractNumId w:val="2"/>
  </w:num>
  <w:num w:numId="15">
    <w:abstractNumId w:val="18"/>
  </w:num>
  <w:num w:numId="16">
    <w:abstractNumId w:val="13"/>
  </w:num>
  <w:num w:numId="17">
    <w:abstractNumId w:val="14"/>
  </w:num>
  <w:num w:numId="18">
    <w:abstractNumId w:val="21"/>
  </w:num>
  <w:num w:numId="19">
    <w:abstractNumId w:val="8"/>
  </w:num>
  <w:num w:numId="20">
    <w:abstractNumId w:val="0"/>
  </w:num>
  <w:num w:numId="21">
    <w:abstractNumId w:val="34"/>
  </w:num>
  <w:num w:numId="22">
    <w:abstractNumId w:val="4"/>
  </w:num>
  <w:num w:numId="23">
    <w:abstractNumId w:val="24"/>
  </w:num>
  <w:num w:numId="24">
    <w:abstractNumId w:val="36"/>
  </w:num>
  <w:num w:numId="25">
    <w:abstractNumId w:val="31"/>
  </w:num>
  <w:num w:numId="26">
    <w:abstractNumId w:val="25"/>
  </w:num>
  <w:num w:numId="27">
    <w:abstractNumId w:val="5"/>
  </w:num>
  <w:num w:numId="28">
    <w:abstractNumId w:val="7"/>
  </w:num>
  <w:num w:numId="29">
    <w:abstractNumId w:val="30"/>
  </w:num>
  <w:num w:numId="30">
    <w:abstractNumId w:val="23"/>
  </w:num>
  <w:num w:numId="31">
    <w:abstractNumId w:val="38"/>
  </w:num>
  <w:num w:numId="32">
    <w:abstractNumId w:val="28"/>
  </w:num>
  <w:num w:numId="33">
    <w:abstractNumId w:val="27"/>
  </w:num>
  <w:num w:numId="34">
    <w:abstractNumId w:val="29"/>
  </w:num>
  <w:num w:numId="35">
    <w:abstractNumId w:val="26"/>
  </w:num>
  <w:num w:numId="36">
    <w:abstractNumId w:val="33"/>
  </w:num>
  <w:num w:numId="37">
    <w:abstractNumId w:val="1"/>
  </w:num>
  <w:num w:numId="38">
    <w:abstractNumId w:val="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2197961"/>
    <w:rsid w:val="02D24484"/>
    <w:rsid w:val="04824617"/>
    <w:rsid w:val="04D83AD1"/>
    <w:rsid w:val="055022DD"/>
    <w:rsid w:val="07B211EB"/>
    <w:rsid w:val="07E27C7A"/>
    <w:rsid w:val="0A0C1598"/>
    <w:rsid w:val="0A0D1766"/>
    <w:rsid w:val="0FA90764"/>
    <w:rsid w:val="10DC4179"/>
    <w:rsid w:val="12D60804"/>
    <w:rsid w:val="131F731B"/>
    <w:rsid w:val="13855179"/>
    <w:rsid w:val="14362C14"/>
    <w:rsid w:val="144607CD"/>
    <w:rsid w:val="14E775D9"/>
    <w:rsid w:val="16F0162C"/>
    <w:rsid w:val="17204078"/>
    <w:rsid w:val="175D20E7"/>
    <w:rsid w:val="17951D53"/>
    <w:rsid w:val="17F42F7B"/>
    <w:rsid w:val="194873ED"/>
    <w:rsid w:val="194A795A"/>
    <w:rsid w:val="1A832753"/>
    <w:rsid w:val="1AB7139C"/>
    <w:rsid w:val="1B55070F"/>
    <w:rsid w:val="1C1A3373"/>
    <w:rsid w:val="1C74219B"/>
    <w:rsid w:val="1CA9457D"/>
    <w:rsid w:val="1CFE561E"/>
    <w:rsid w:val="201179B6"/>
    <w:rsid w:val="20E12C42"/>
    <w:rsid w:val="211D2FFF"/>
    <w:rsid w:val="22AE0075"/>
    <w:rsid w:val="23701F89"/>
    <w:rsid w:val="23E20B30"/>
    <w:rsid w:val="25722EEF"/>
    <w:rsid w:val="267E7AA6"/>
    <w:rsid w:val="27A0246B"/>
    <w:rsid w:val="27A25135"/>
    <w:rsid w:val="27CB4942"/>
    <w:rsid w:val="292170A7"/>
    <w:rsid w:val="2A4F3B9E"/>
    <w:rsid w:val="2A5D30E7"/>
    <w:rsid w:val="2BAE17FF"/>
    <w:rsid w:val="2BE91F37"/>
    <w:rsid w:val="2CF325E7"/>
    <w:rsid w:val="2D8C35AC"/>
    <w:rsid w:val="2D8D700C"/>
    <w:rsid w:val="2DE46FCA"/>
    <w:rsid w:val="2F922452"/>
    <w:rsid w:val="2FD76B14"/>
    <w:rsid w:val="30856178"/>
    <w:rsid w:val="341A30EC"/>
    <w:rsid w:val="34402E73"/>
    <w:rsid w:val="367A561E"/>
    <w:rsid w:val="370E5AB9"/>
    <w:rsid w:val="373B5261"/>
    <w:rsid w:val="3879381B"/>
    <w:rsid w:val="39644506"/>
    <w:rsid w:val="396E7463"/>
    <w:rsid w:val="397702BB"/>
    <w:rsid w:val="3A3B0A05"/>
    <w:rsid w:val="3B274F84"/>
    <w:rsid w:val="3B665F58"/>
    <w:rsid w:val="3BAF5709"/>
    <w:rsid w:val="3C294FC1"/>
    <w:rsid w:val="3D602EC0"/>
    <w:rsid w:val="3D6B3046"/>
    <w:rsid w:val="3F2A0CE7"/>
    <w:rsid w:val="400A66DC"/>
    <w:rsid w:val="41E16035"/>
    <w:rsid w:val="43255009"/>
    <w:rsid w:val="436822EB"/>
    <w:rsid w:val="43E2309D"/>
    <w:rsid w:val="457703BB"/>
    <w:rsid w:val="465B19C6"/>
    <w:rsid w:val="46D87095"/>
    <w:rsid w:val="46F359A1"/>
    <w:rsid w:val="486B260B"/>
    <w:rsid w:val="499015D2"/>
    <w:rsid w:val="49B7682C"/>
    <w:rsid w:val="4A6142EA"/>
    <w:rsid w:val="4A7C50FD"/>
    <w:rsid w:val="4B9C5A94"/>
    <w:rsid w:val="4BC573A8"/>
    <w:rsid w:val="4C1C3E43"/>
    <w:rsid w:val="4CBD124A"/>
    <w:rsid w:val="4ECB70F3"/>
    <w:rsid w:val="4F5D3335"/>
    <w:rsid w:val="4F6164F5"/>
    <w:rsid w:val="4FA97952"/>
    <w:rsid w:val="506F4E1E"/>
    <w:rsid w:val="51F35615"/>
    <w:rsid w:val="53F44CB7"/>
    <w:rsid w:val="540E20B0"/>
    <w:rsid w:val="55482FE4"/>
    <w:rsid w:val="55D40B98"/>
    <w:rsid w:val="56F02839"/>
    <w:rsid w:val="58A514A0"/>
    <w:rsid w:val="58D20B4F"/>
    <w:rsid w:val="59B33345"/>
    <w:rsid w:val="5A431DCD"/>
    <w:rsid w:val="5D1C7AB0"/>
    <w:rsid w:val="5F99219D"/>
    <w:rsid w:val="60AB6EDD"/>
    <w:rsid w:val="63007260"/>
    <w:rsid w:val="63160A12"/>
    <w:rsid w:val="641D786A"/>
    <w:rsid w:val="65172004"/>
    <w:rsid w:val="65C874E4"/>
    <w:rsid w:val="65F9165C"/>
    <w:rsid w:val="69F04C89"/>
    <w:rsid w:val="6B253BC7"/>
    <w:rsid w:val="6B924AC0"/>
    <w:rsid w:val="6BE14F0E"/>
    <w:rsid w:val="6C6E57C2"/>
    <w:rsid w:val="6CEE2778"/>
    <w:rsid w:val="6DEC77D0"/>
    <w:rsid w:val="6F9371EB"/>
    <w:rsid w:val="6FDB3E77"/>
    <w:rsid w:val="72223A16"/>
    <w:rsid w:val="72245523"/>
    <w:rsid w:val="72BB0AD8"/>
    <w:rsid w:val="7465193A"/>
    <w:rsid w:val="759E0068"/>
    <w:rsid w:val="76110A91"/>
    <w:rsid w:val="77AD0A02"/>
    <w:rsid w:val="78A35E38"/>
    <w:rsid w:val="79F57DFF"/>
    <w:rsid w:val="7E6F0C8B"/>
    <w:rsid w:val="7EA44C35"/>
    <w:rsid w:val="7F0A5FAD"/>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jc w:val="center"/>
      <w:outlineLvl w:val="0"/>
    </w:pPr>
    <w:rPr>
      <w:rFonts w:ascii="Tahoma" w:eastAsia="Tahoma"/>
      <w:b/>
      <w:bCs/>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4">
    <w:name w:val="toc 6"/>
    <w:basedOn w:val="1"/>
    <w:next w:val="1"/>
    <w:semiHidden/>
    <w:qFormat/>
    <w:uiPriority w:val="0"/>
    <w:pPr>
      <w:ind w:left="1050"/>
      <w:jc w:val="left"/>
    </w:pPr>
    <w:rPr>
      <w:sz w:val="18"/>
      <w:szCs w:val="18"/>
    </w:rPr>
  </w:style>
  <w:style w:type="paragraph" w:styleId="9">
    <w:name w:val="annotation text"/>
    <w:basedOn w:val="1"/>
    <w:link w:val="32"/>
    <w:qFormat/>
    <w:uiPriority w:val="0"/>
    <w:pPr>
      <w:jc w:val="left"/>
    </w:pPr>
  </w:style>
  <w:style w:type="paragraph" w:styleId="10">
    <w:name w:val="Body Text Indent"/>
    <w:basedOn w:val="1"/>
    <w:next w:val="1"/>
    <w:qFormat/>
    <w:uiPriority w:val="0"/>
    <w:pPr>
      <w:ind w:left="480" w:hanging="480" w:hangingChars="200"/>
    </w:pPr>
    <w:rPr>
      <w:sz w:val="24"/>
    </w:rPr>
  </w:style>
  <w:style w:type="paragraph" w:styleId="11">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2">
    <w:name w:val="Date"/>
    <w:basedOn w:val="1"/>
    <w:next w:val="1"/>
    <w:qFormat/>
    <w:uiPriority w:val="0"/>
    <w:pPr>
      <w:ind w:left="100" w:leftChars="2500"/>
    </w:pPr>
    <w:rPr>
      <w:rFonts w:ascii="Times New Roman" w:hAnsi="Times New Roman"/>
    </w:rPr>
  </w:style>
  <w:style w:type="paragraph" w:styleId="13">
    <w:name w:val="Body Text Indent 2"/>
    <w:basedOn w:val="1"/>
    <w:qFormat/>
    <w:uiPriority w:val="0"/>
    <w:pPr>
      <w:ind w:firstLine="568" w:firstLineChars="203"/>
    </w:pPr>
    <w:rPr>
      <w:rFonts w:ascii="宋体" w:hAnsi="宋体"/>
      <w:sz w:val="28"/>
    </w:rPr>
  </w:style>
  <w:style w:type="paragraph" w:styleId="14">
    <w:name w:val="Balloon Text"/>
    <w:basedOn w:val="1"/>
    <w:link w:val="59"/>
    <w:qFormat/>
    <w:uiPriority w:val="0"/>
    <w:rPr>
      <w:sz w:val="18"/>
      <w:szCs w:val="18"/>
    </w:rPr>
  </w:style>
  <w:style w:type="paragraph" w:styleId="15">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7">
    <w:name w:val="toc 1"/>
    <w:basedOn w:val="1"/>
    <w:next w:val="1"/>
    <w:qFormat/>
    <w:uiPriority w:val="39"/>
    <w:pPr>
      <w:tabs>
        <w:tab w:val="right" w:leader="dot" w:pos="9660"/>
      </w:tabs>
      <w:spacing w:line="480" w:lineRule="auto"/>
    </w:pPr>
  </w:style>
  <w:style w:type="paragraph" w:styleId="18">
    <w:name w:val="toc 4"/>
    <w:basedOn w:val="1"/>
    <w:next w:val="1"/>
    <w:qFormat/>
    <w:uiPriority w:val="0"/>
    <w:pPr>
      <w:wordWrap w:val="0"/>
      <w:ind w:left="850"/>
    </w:pPr>
  </w:style>
  <w:style w:type="paragraph" w:styleId="19">
    <w:name w:val="Normal (Web)"/>
    <w:basedOn w:val="1"/>
    <w:qFormat/>
    <w:uiPriority w:val="0"/>
    <w:pPr>
      <w:spacing w:after="210"/>
      <w:jc w:val="left"/>
    </w:pPr>
    <w:rPr>
      <w:kern w:val="0"/>
      <w:sz w:val="24"/>
    </w:rPr>
  </w:style>
  <w:style w:type="paragraph" w:styleId="20">
    <w:name w:val="annotation subject"/>
    <w:basedOn w:val="9"/>
    <w:next w:val="9"/>
    <w:link w:val="33"/>
    <w:qFormat/>
    <w:uiPriority w:val="0"/>
    <w:rPr>
      <w:b/>
      <w:bCs/>
    </w:rPr>
  </w:style>
  <w:style w:type="paragraph" w:styleId="21">
    <w:name w:val="Body Text First Indent 2"/>
    <w:basedOn w:val="10"/>
    <w:qFormat/>
    <w:uiPriority w:val="99"/>
    <w:pPr>
      <w:ind w:firstLine="420" w:firstLineChars="200"/>
    </w:pPr>
  </w:style>
  <w:style w:type="character" w:styleId="24">
    <w:name w:val="Strong"/>
    <w:basedOn w:val="23"/>
    <w:qFormat/>
    <w:uiPriority w:val="0"/>
    <w:rPr>
      <w:b/>
      <w:bCs/>
    </w:rPr>
  </w:style>
  <w:style w:type="character" w:styleId="25">
    <w:name w:val="FollowedHyperlink"/>
    <w:basedOn w:val="23"/>
    <w:qFormat/>
    <w:uiPriority w:val="0"/>
    <w:rPr>
      <w:color w:val="1890FF"/>
      <w:u w:val="none"/>
    </w:rPr>
  </w:style>
  <w:style w:type="character" w:styleId="26">
    <w:name w:val="HTML Definition"/>
    <w:basedOn w:val="23"/>
    <w:qFormat/>
    <w:uiPriority w:val="0"/>
    <w:rPr>
      <w:i/>
      <w:iCs/>
    </w:rPr>
  </w:style>
  <w:style w:type="character" w:styleId="27">
    <w:name w:val="Hyperlink"/>
    <w:qFormat/>
    <w:uiPriority w:val="99"/>
    <w:rPr>
      <w:color w:val="0000FF"/>
      <w:u w:val="single"/>
    </w:rPr>
  </w:style>
  <w:style w:type="character" w:styleId="28">
    <w:name w:val="HTML Code"/>
    <w:basedOn w:val="23"/>
    <w:qFormat/>
    <w:uiPriority w:val="0"/>
    <w:rPr>
      <w:rFonts w:ascii="Consolas" w:hAnsi="Consolas" w:eastAsia="Consolas" w:cs="Consolas"/>
      <w:sz w:val="21"/>
      <w:szCs w:val="21"/>
    </w:rPr>
  </w:style>
  <w:style w:type="character" w:styleId="29">
    <w:name w:val="annotation reference"/>
    <w:basedOn w:val="23"/>
    <w:qFormat/>
    <w:uiPriority w:val="0"/>
    <w:rPr>
      <w:sz w:val="21"/>
      <w:szCs w:val="21"/>
    </w:rPr>
  </w:style>
  <w:style w:type="character" w:styleId="30">
    <w:name w:val="HTML Keyboard"/>
    <w:basedOn w:val="23"/>
    <w:qFormat/>
    <w:uiPriority w:val="0"/>
    <w:rPr>
      <w:rFonts w:hint="default" w:ascii="Consolas" w:hAnsi="Consolas" w:eastAsia="Consolas" w:cs="Consolas"/>
      <w:sz w:val="21"/>
      <w:szCs w:val="21"/>
    </w:rPr>
  </w:style>
  <w:style w:type="character" w:styleId="31">
    <w:name w:val="HTML Sample"/>
    <w:basedOn w:val="23"/>
    <w:qFormat/>
    <w:uiPriority w:val="0"/>
    <w:rPr>
      <w:rFonts w:hint="default" w:ascii="Consolas" w:hAnsi="Consolas" w:eastAsia="Consolas" w:cs="Consolas"/>
      <w:sz w:val="21"/>
      <w:szCs w:val="21"/>
    </w:rPr>
  </w:style>
  <w:style w:type="character" w:customStyle="1" w:styleId="32">
    <w:name w:val="批注文字 Char"/>
    <w:basedOn w:val="23"/>
    <w:link w:val="9"/>
    <w:qFormat/>
    <w:uiPriority w:val="0"/>
    <w:rPr>
      <w:rFonts w:ascii="等线" w:hAnsi="等线" w:eastAsia="等线"/>
      <w:kern w:val="2"/>
      <w:sz w:val="21"/>
      <w:szCs w:val="22"/>
    </w:rPr>
  </w:style>
  <w:style w:type="character" w:customStyle="1" w:styleId="33">
    <w:name w:val="批注主题 Char"/>
    <w:basedOn w:val="32"/>
    <w:link w:val="20"/>
    <w:qFormat/>
    <w:uiPriority w:val="0"/>
    <w:rPr>
      <w:rFonts w:ascii="等线" w:hAnsi="等线" w:eastAsia="等线"/>
      <w:b/>
      <w:bCs/>
      <w:kern w:val="2"/>
      <w:sz w:val="21"/>
      <w:szCs w:val="22"/>
    </w:rPr>
  </w:style>
  <w:style w:type="character" w:customStyle="1" w:styleId="34">
    <w:name w:val="user-acct"/>
    <w:basedOn w:val="23"/>
    <w:qFormat/>
    <w:uiPriority w:val="0"/>
    <w:rPr>
      <w:color w:val="7C7070"/>
    </w:rPr>
  </w:style>
  <w:style w:type="character" w:customStyle="1" w:styleId="35">
    <w:name w:val="hover12"/>
    <w:basedOn w:val="23"/>
    <w:qFormat/>
    <w:uiPriority w:val="0"/>
  </w:style>
  <w:style w:type="character" w:customStyle="1" w:styleId="36">
    <w:name w:val="current"/>
    <w:basedOn w:val="23"/>
    <w:qFormat/>
    <w:uiPriority w:val="0"/>
    <w:rPr>
      <w:color w:val="00C1DE"/>
    </w:rPr>
  </w:style>
  <w:style w:type="character" w:customStyle="1" w:styleId="37">
    <w:name w:val="current1"/>
    <w:basedOn w:val="23"/>
    <w:qFormat/>
    <w:uiPriority w:val="0"/>
    <w:rPr>
      <w:color w:val="00C1DE"/>
    </w:rPr>
  </w:style>
  <w:style w:type="character" w:customStyle="1" w:styleId="38">
    <w:name w:val="selected"/>
    <w:basedOn w:val="23"/>
    <w:qFormat/>
    <w:uiPriority w:val="0"/>
    <w:rPr>
      <w:color w:val="1C81FE"/>
    </w:rPr>
  </w:style>
  <w:style w:type="character" w:customStyle="1" w:styleId="39">
    <w:name w:val="selected1"/>
    <w:basedOn w:val="23"/>
    <w:qFormat/>
    <w:uiPriority w:val="0"/>
    <w:rPr>
      <w:color w:val="1C81FE"/>
    </w:rPr>
  </w:style>
  <w:style w:type="character" w:customStyle="1" w:styleId="40">
    <w:name w:val="desc"/>
    <w:basedOn w:val="23"/>
    <w:qFormat/>
    <w:uiPriority w:val="0"/>
    <w:rPr>
      <w:b/>
      <w:bCs/>
      <w:color w:val="404040"/>
    </w:rPr>
  </w:style>
  <w:style w:type="character" w:customStyle="1" w:styleId="41">
    <w:name w:val="desc1"/>
    <w:basedOn w:val="23"/>
    <w:qFormat/>
    <w:uiPriority w:val="0"/>
    <w:rPr>
      <w:b/>
      <w:bCs/>
      <w:color w:val="404040"/>
    </w:rPr>
  </w:style>
  <w:style w:type="character" w:customStyle="1" w:styleId="42">
    <w:name w:val="helper"/>
    <w:basedOn w:val="23"/>
    <w:qFormat/>
    <w:uiPriority w:val="0"/>
    <w:rPr>
      <w:b/>
      <w:bCs/>
      <w:color w:val="404040"/>
      <w:sz w:val="38"/>
      <w:szCs w:val="38"/>
    </w:rPr>
  </w:style>
  <w:style w:type="character" w:customStyle="1" w:styleId="43">
    <w:name w:val="icon6"/>
    <w:basedOn w:val="23"/>
    <w:qFormat/>
    <w:uiPriority w:val="0"/>
  </w:style>
  <w:style w:type="character" w:customStyle="1" w:styleId="44">
    <w:name w:val="ant-typography-ellipsis"/>
    <w:basedOn w:val="23"/>
    <w:qFormat/>
    <w:uiPriority w:val="0"/>
  </w:style>
  <w:style w:type="character" w:customStyle="1" w:styleId="45">
    <w:name w:val="ant-radio+*"/>
    <w:basedOn w:val="23"/>
    <w:qFormat/>
    <w:uiPriority w:val="0"/>
  </w:style>
  <w:style w:type="character" w:customStyle="1" w:styleId="46">
    <w:name w:val="content72"/>
    <w:basedOn w:val="23"/>
    <w:qFormat/>
    <w:uiPriority w:val="0"/>
    <w:rPr>
      <w:color w:val="7C7070"/>
      <w:sz w:val="14"/>
      <w:szCs w:val="14"/>
    </w:rPr>
  </w:style>
  <w:style w:type="character" w:customStyle="1" w:styleId="47">
    <w:name w:val="info-label"/>
    <w:basedOn w:val="23"/>
    <w:qFormat/>
    <w:uiPriority w:val="0"/>
    <w:rPr>
      <w:b/>
      <w:bCs/>
    </w:rPr>
  </w:style>
  <w:style w:type="character" w:customStyle="1" w:styleId="48">
    <w:name w:val="info-content"/>
    <w:basedOn w:val="23"/>
    <w:qFormat/>
    <w:uiPriority w:val="0"/>
    <w:rPr>
      <w:color w:val="808080"/>
    </w:rPr>
  </w:style>
  <w:style w:type="character" w:customStyle="1" w:styleId="49">
    <w:name w:val="phone-number1"/>
    <w:basedOn w:val="23"/>
    <w:qFormat/>
    <w:uiPriority w:val="0"/>
    <w:rPr>
      <w:color w:val="0876FF"/>
    </w:rPr>
  </w:style>
  <w:style w:type="paragraph" w:styleId="50">
    <w:name w:val="List Paragraph"/>
    <w:basedOn w:val="1"/>
    <w:qFormat/>
    <w:uiPriority w:val="34"/>
    <w:pPr>
      <w:ind w:firstLine="420" w:firstLineChars="200"/>
    </w:pPr>
  </w:style>
  <w:style w:type="paragraph" w:customStyle="1" w:styleId="51">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2">
    <w:name w:val="正文_0_0"/>
    <w:basedOn w:val="1"/>
    <w:qFormat/>
    <w:uiPriority w:val="0"/>
    <w:rPr>
      <w:rFonts w:ascii="Calibri" w:hAnsi="Calibri" w:cs="Calibri"/>
      <w:szCs w:val="21"/>
    </w:rPr>
  </w:style>
  <w:style w:type="paragraph" w:customStyle="1" w:styleId="53">
    <w:name w:val="[Normal]"/>
    <w:qFormat/>
    <w:uiPriority w:val="0"/>
    <w:rPr>
      <w:rFonts w:ascii="宋体" w:hAnsi="宋体" w:eastAsia="宋体" w:cs="Times New Roman"/>
      <w:sz w:val="24"/>
      <w:szCs w:val="22"/>
      <w:lang w:val="zh-CN" w:eastAsia="zh-CN" w:bidi="ar-SA"/>
    </w:rPr>
  </w:style>
  <w:style w:type="paragraph" w:customStyle="1" w:styleId="54">
    <w:name w:val="正文文本首行缩进1"/>
    <w:basedOn w:val="3"/>
    <w:qFormat/>
    <w:uiPriority w:val="0"/>
    <w:pPr>
      <w:ind w:firstLine="420" w:firstLineChars="100"/>
    </w:pPr>
    <w:rPr>
      <w:szCs w:val="21"/>
    </w:rPr>
  </w:style>
  <w:style w:type="paragraph" w:customStyle="1" w:styleId="5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6">
    <w:name w:val="p5"/>
    <w:basedOn w:val="23"/>
    <w:qFormat/>
    <w:uiPriority w:val="0"/>
  </w:style>
  <w:style w:type="paragraph" w:customStyle="1" w:styleId="57">
    <w:name w:val="正文首行缩进1"/>
    <w:basedOn w:val="3"/>
    <w:qFormat/>
    <w:uiPriority w:val="0"/>
    <w:pPr>
      <w:ind w:firstLine="420" w:firstLineChars="100"/>
    </w:pPr>
    <w:rPr>
      <w:rFonts w:ascii="Times New Roman" w:hAnsi="Times New Roman"/>
    </w:rPr>
  </w:style>
  <w:style w:type="paragraph" w:customStyle="1" w:styleId="58">
    <w:name w:val="列出段落1"/>
    <w:basedOn w:val="1"/>
    <w:qFormat/>
    <w:uiPriority w:val="0"/>
    <w:pPr>
      <w:ind w:firstLine="420" w:firstLineChars="200"/>
    </w:pPr>
    <w:rPr>
      <w:szCs w:val="20"/>
    </w:rPr>
  </w:style>
  <w:style w:type="character" w:customStyle="1" w:styleId="59">
    <w:name w:val="批注框文本 Char"/>
    <w:basedOn w:val="23"/>
    <w:link w:val="14"/>
    <w:qFormat/>
    <w:uiPriority w:val="0"/>
    <w:rPr>
      <w:rFonts w:ascii="等线" w:hAnsi="等线" w:eastAsia="等线"/>
      <w:kern w:val="2"/>
      <w:sz w:val="18"/>
      <w:szCs w:val="18"/>
    </w:rPr>
  </w:style>
  <w:style w:type="paragraph" w:customStyle="1" w:styleId="60">
    <w:name w:val="hb.1"/>
    <w:basedOn w:val="1"/>
    <w:qFormat/>
    <w:uiPriority w:val="0"/>
    <w:pPr>
      <w:tabs>
        <w:tab w:val="left" w:pos="992"/>
      </w:tabs>
      <w:spacing w:after="156"/>
      <w:ind w:left="992" w:hanging="567"/>
    </w:pPr>
    <w:rPr>
      <w:rFonts w:ascii="Times New Roman" w:hAnsi="Times New Roman"/>
      <w:szCs w:val="20"/>
    </w:rPr>
  </w:style>
  <w:style w:type="paragraph" w:customStyle="1" w:styleId="61">
    <w:name w:val="htbh"/>
    <w:basedOn w:val="6"/>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1</Pages>
  <Words>7865</Words>
  <Characters>44834</Characters>
  <Lines>373</Lines>
  <Paragraphs>105</Paragraphs>
  <TotalTime>5</TotalTime>
  <ScaleCrop>false</ScaleCrop>
  <LinksUpToDate>false</LinksUpToDate>
  <CharactersWithSpaces>52594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the sun</cp:lastModifiedBy>
  <dcterms:modified xsi:type="dcterms:W3CDTF">2021-09-30T09:29:54Z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0D5996CC032A4B70A4B338B909E90228</vt:lpwstr>
  </property>
</Properties>
</file>